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87" w:rsidRPr="00922260" w:rsidRDefault="00706715" w:rsidP="00706715">
      <w:pPr>
        <w:jc w:val="center"/>
        <w:rPr>
          <w:b/>
          <w:sz w:val="28"/>
          <w:szCs w:val="28"/>
        </w:rPr>
      </w:pPr>
      <w:r w:rsidRPr="00922260">
        <w:rPr>
          <w:b/>
          <w:sz w:val="28"/>
          <w:szCs w:val="28"/>
        </w:rPr>
        <w:t>RELAZIONE</w:t>
      </w:r>
    </w:p>
    <w:p w:rsidR="00706715" w:rsidRPr="00706715" w:rsidRDefault="00706715" w:rsidP="00706715">
      <w:pPr>
        <w:jc w:val="both"/>
        <w:rPr>
          <w:b/>
          <w:u w:val="single"/>
        </w:rPr>
      </w:pPr>
    </w:p>
    <w:p w:rsidR="00706715" w:rsidRPr="00706715" w:rsidRDefault="00706715" w:rsidP="00706715">
      <w:pPr>
        <w:jc w:val="both"/>
      </w:pPr>
      <w:r w:rsidRPr="00706715">
        <w:t>per la Proposta di Deliberazione dell’Assemblea Capitolina di Iniziativa Popolare ai sensi degli Art.li 2 e seguenti del Regolamento per gli Istituti di Partecipazione e di Iniziativa Popolare (delibera C.C.101/94), ed ai sensi degli Art.li 8 e seguenti dello Statuto di Roma Capitale:</w:t>
      </w:r>
    </w:p>
    <w:p w:rsidR="00706715" w:rsidRDefault="00706715" w:rsidP="00706715">
      <w:pPr>
        <w:jc w:val="both"/>
        <w:rPr>
          <w:b/>
          <w:i/>
        </w:rPr>
      </w:pPr>
    </w:p>
    <w:p w:rsidR="00C277DD" w:rsidRDefault="00706715" w:rsidP="00706715">
      <w:pPr>
        <w:jc w:val="both"/>
        <w:rPr>
          <w:b/>
          <w:i/>
        </w:rPr>
      </w:pPr>
      <w:r w:rsidRPr="00706715">
        <w:rPr>
          <w:b/>
          <w:i/>
        </w:rPr>
        <w:t xml:space="preserve">Regolamento di disciplina </w:t>
      </w:r>
      <w:r w:rsidR="00C277DD">
        <w:rPr>
          <w:b/>
          <w:i/>
        </w:rPr>
        <w:t>ed attuazione delle norme sul rumore e di controllo e prevenzione dell’inquinamento acustico</w:t>
      </w:r>
    </w:p>
    <w:p w:rsidR="00706715" w:rsidRDefault="00706715" w:rsidP="00706715">
      <w:pPr>
        <w:jc w:val="both"/>
        <w:rPr>
          <w:b/>
          <w:i/>
        </w:rPr>
      </w:pPr>
    </w:p>
    <w:p w:rsidR="00706715" w:rsidRDefault="00706715" w:rsidP="00706715">
      <w:pPr>
        <w:jc w:val="center"/>
      </w:pPr>
      <w:r>
        <w:t>*</w:t>
      </w:r>
    </w:p>
    <w:p w:rsidR="00706715" w:rsidRDefault="00722C18" w:rsidP="00706715">
      <w:pPr>
        <w:jc w:val="both"/>
        <w:rPr>
          <w:b/>
        </w:rPr>
      </w:pPr>
      <w:r>
        <w:rPr>
          <w:b/>
        </w:rPr>
        <w:t>PRINCIPI E FINALITA’</w:t>
      </w:r>
    </w:p>
    <w:p w:rsidR="00722C18" w:rsidRPr="00722C18" w:rsidRDefault="00722C18" w:rsidP="00706715">
      <w:pPr>
        <w:jc w:val="both"/>
        <w:rPr>
          <w:b/>
        </w:rPr>
      </w:pPr>
    </w:p>
    <w:p w:rsidR="00706715" w:rsidRDefault="002F7DA7" w:rsidP="00706715">
      <w:pPr>
        <w:jc w:val="both"/>
      </w:pPr>
      <w:r>
        <w:tab/>
      </w:r>
      <w:r w:rsidRPr="002F7DA7">
        <w:rPr>
          <w:b/>
        </w:rPr>
        <w:t>1 -</w:t>
      </w:r>
      <w:r>
        <w:t xml:space="preserve"> </w:t>
      </w:r>
      <w:r w:rsidR="00033FAB">
        <w:t xml:space="preserve">L’attuale contesto normativo </w:t>
      </w:r>
      <w:r>
        <w:t xml:space="preserve">di settore </w:t>
      </w:r>
      <w:r w:rsidR="00033FAB">
        <w:t>che impone a Roma Capitale l’adozione del regolamento in epigrafe, è il seguente:</w:t>
      </w:r>
    </w:p>
    <w:p w:rsidR="00033FAB" w:rsidRDefault="00033FAB" w:rsidP="00706715">
      <w:pPr>
        <w:jc w:val="both"/>
      </w:pPr>
      <w:r>
        <w:t>-Legge Quadro sull’Inquinamento Acustico n.447 del 1995;</w:t>
      </w:r>
    </w:p>
    <w:p w:rsidR="00033FAB" w:rsidRDefault="00033FAB" w:rsidP="00033FAB">
      <w:pPr>
        <w:jc w:val="both"/>
        <w:rPr>
          <w:i/>
        </w:rPr>
      </w:pPr>
      <w:r>
        <w:t>-D.P.C.M. del 14.11.97 contenente la “</w:t>
      </w:r>
      <w:r>
        <w:rPr>
          <w:i/>
        </w:rPr>
        <w:t>Determinazione dei valori limite delle sorgenti sonore”;</w:t>
      </w:r>
    </w:p>
    <w:p w:rsidR="00033FAB" w:rsidRDefault="00033FAB" w:rsidP="00033FAB">
      <w:pPr>
        <w:jc w:val="both"/>
        <w:rPr>
          <w:i/>
        </w:rPr>
      </w:pPr>
      <w:r>
        <w:t xml:space="preserve">-D.P.C.M. del 16.03.98 contenete la </w:t>
      </w:r>
      <w:r>
        <w:rPr>
          <w:i/>
        </w:rPr>
        <w:t>“</w:t>
      </w:r>
      <w:r w:rsidRPr="00033FAB">
        <w:rPr>
          <w:i/>
        </w:rPr>
        <w:t>Tecniche di rilevamento e di misuraz</w:t>
      </w:r>
      <w:r>
        <w:rPr>
          <w:i/>
        </w:rPr>
        <w:t>ione dell'inquinamento acustico”;</w:t>
      </w:r>
    </w:p>
    <w:p w:rsidR="002F7DA7" w:rsidRDefault="00033FAB" w:rsidP="002F7DA7">
      <w:pPr>
        <w:jc w:val="both"/>
      </w:pPr>
      <w:r>
        <w:t>-Legge Regione Lazio n.18 del 2001</w:t>
      </w:r>
      <w:r w:rsidR="002F7DA7">
        <w:t>: “</w:t>
      </w:r>
      <w:r w:rsidR="002F7DA7" w:rsidRPr="002F7DA7">
        <w:rPr>
          <w:i/>
        </w:rPr>
        <w:t>Disposizioni in materia di inquinamento acustico per la pianificazione ed il risanamento del territorio</w:t>
      </w:r>
      <w:r w:rsidR="002F7DA7">
        <w:t>”;</w:t>
      </w:r>
    </w:p>
    <w:p w:rsidR="002F7DA7" w:rsidRPr="002F7DA7" w:rsidRDefault="002F7DA7" w:rsidP="002F7DA7">
      <w:pPr>
        <w:autoSpaceDE w:val="0"/>
        <w:autoSpaceDN w:val="0"/>
        <w:adjustRightInd w:val="0"/>
        <w:jc w:val="both"/>
        <w:rPr>
          <w:bCs/>
        </w:rPr>
      </w:pPr>
      <w:r>
        <w:t>-Delibera C.C. del Comune di Roma n.60 del 2002, “</w:t>
      </w:r>
      <w:r w:rsidRPr="002F7DA7">
        <w:rPr>
          <w:bCs/>
          <w:i/>
        </w:rPr>
        <w:t>Piano di Zonizzazione Acustica del</w:t>
      </w:r>
      <w:r>
        <w:rPr>
          <w:bCs/>
          <w:i/>
        </w:rPr>
        <w:t xml:space="preserve"> territorio del Comune di Roma. </w:t>
      </w:r>
      <w:r w:rsidRPr="002F7DA7">
        <w:rPr>
          <w:bCs/>
          <w:i/>
        </w:rPr>
        <w:t>Approvazione in att</w:t>
      </w:r>
      <w:r>
        <w:rPr>
          <w:bCs/>
          <w:i/>
        </w:rPr>
        <w:t xml:space="preserve">uazione della legge n. 447/95. </w:t>
      </w:r>
      <w:r w:rsidRPr="002F7DA7">
        <w:rPr>
          <w:bCs/>
          <w:i/>
        </w:rPr>
        <w:t>Classificazione acustica del</w:t>
      </w:r>
      <w:r>
        <w:rPr>
          <w:bCs/>
          <w:i/>
        </w:rPr>
        <w:t xml:space="preserve"> </w:t>
      </w:r>
      <w:r w:rsidRPr="002F7DA7">
        <w:rPr>
          <w:bCs/>
          <w:i/>
        </w:rPr>
        <w:t>territorio comunale</w:t>
      </w:r>
      <w:r>
        <w:rPr>
          <w:bCs/>
          <w:i/>
        </w:rPr>
        <w:t>”;</w:t>
      </w:r>
      <w:r>
        <w:rPr>
          <w:bCs/>
        </w:rPr>
        <w:t xml:space="preserve"> contenente, inoltre, le </w:t>
      </w:r>
      <w:r>
        <w:rPr>
          <w:bCs/>
          <w:i/>
        </w:rPr>
        <w:t xml:space="preserve">“Norme tecniche di attuazione” </w:t>
      </w:r>
      <w:r>
        <w:rPr>
          <w:bCs/>
        </w:rPr>
        <w:t>del Piano di Zonizzazione Acustica;</w:t>
      </w:r>
    </w:p>
    <w:p w:rsidR="002F7DA7" w:rsidRPr="002F7DA7" w:rsidRDefault="002F7DA7" w:rsidP="002F7DA7">
      <w:pPr>
        <w:autoSpaceDE w:val="0"/>
        <w:autoSpaceDN w:val="0"/>
        <w:adjustRightInd w:val="0"/>
        <w:jc w:val="both"/>
        <w:rPr>
          <w:bCs/>
          <w:i/>
        </w:rPr>
      </w:pPr>
      <w:r>
        <w:rPr>
          <w:bCs/>
        </w:rPr>
        <w:t xml:space="preserve">-Delibera C.C. del Comune di Roma n.12 del 2004, </w:t>
      </w:r>
      <w:r w:rsidRPr="002F7DA7">
        <w:rPr>
          <w:bCs/>
          <w:i/>
        </w:rPr>
        <w:t>"Piano di Zonizzazione del t</w:t>
      </w:r>
      <w:r>
        <w:rPr>
          <w:bCs/>
          <w:i/>
        </w:rPr>
        <w:t xml:space="preserve">erritorio del Comune di Roma. </w:t>
      </w:r>
      <w:r w:rsidRPr="002F7DA7">
        <w:rPr>
          <w:bCs/>
          <w:i/>
        </w:rPr>
        <w:t xml:space="preserve">Adozione definitiva in attuazione della legge regionale 3 agosto 2001, n. 18 e della legge </w:t>
      </w:r>
      <w:r>
        <w:rPr>
          <w:bCs/>
          <w:i/>
        </w:rPr>
        <w:t xml:space="preserve">quadro n. 447/95. </w:t>
      </w:r>
      <w:r w:rsidRPr="002F7DA7">
        <w:rPr>
          <w:bCs/>
          <w:i/>
        </w:rPr>
        <w:t>Classificazione Acustica del territorio Comunale."</w:t>
      </w:r>
      <w:r>
        <w:rPr>
          <w:bCs/>
          <w:i/>
        </w:rPr>
        <w:t>;</w:t>
      </w:r>
    </w:p>
    <w:p w:rsidR="002F7DA7" w:rsidRDefault="002F7DA7" w:rsidP="002F7DA7">
      <w:pPr>
        <w:jc w:val="both"/>
        <w:rPr>
          <w:i/>
        </w:rPr>
      </w:pPr>
      <w:r w:rsidRPr="002F7DA7">
        <w:t xml:space="preserve">-Decreto Legislativo 19 agosto 2005, n. 194, contenente </w:t>
      </w:r>
      <w:r w:rsidRPr="002F7DA7">
        <w:rPr>
          <w:i/>
        </w:rPr>
        <w:t>“Attuazione della direttiva 2002/49/CE relativa alla determinazione e alla gestione del rumore ambientale"</w:t>
      </w:r>
      <w:r>
        <w:rPr>
          <w:i/>
        </w:rPr>
        <w:t>.</w:t>
      </w:r>
    </w:p>
    <w:p w:rsidR="002F7DA7" w:rsidRPr="002F7DA7" w:rsidRDefault="002F7DA7" w:rsidP="002F7DA7">
      <w:pPr>
        <w:jc w:val="both"/>
      </w:pPr>
    </w:p>
    <w:p w:rsidR="002F7DA7" w:rsidRDefault="002F7DA7" w:rsidP="002F7DA7">
      <w:pPr>
        <w:jc w:val="both"/>
      </w:pPr>
      <w:r>
        <w:tab/>
      </w:r>
      <w:r>
        <w:rPr>
          <w:b/>
        </w:rPr>
        <w:t xml:space="preserve">2 </w:t>
      </w:r>
      <w:r w:rsidR="00E448A5">
        <w:rPr>
          <w:b/>
        </w:rPr>
        <w:t>–</w:t>
      </w:r>
      <w:r>
        <w:rPr>
          <w:b/>
        </w:rPr>
        <w:t xml:space="preserve"> </w:t>
      </w:r>
      <w:r w:rsidR="00E448A5">
        <w:t xml:space="preserve">L’Amministrazione Comunale di Roma Capitale è </w:t>
      </w:r>
      <w:r w:rsidR="00E448A5">
        <w:rPr>
          <w:b/>
        </w:rPr>
        <w:t xml:space="preserve">in gravissimo ritardo </w:t>
      </w:r>
      <w:r w:rsidR="00E448A5">
        <w:t>nell’attuazione dei principi, norme e direttive contenute delle disposi</w:t>
      </w:r>
      <w:r w:rsidR="00DD06B7">
        <w:t>zioni innanzi richiamate, nonché</w:t>
      </w:r>
      <w:r w:rsidR="00E448A5">
        <w:t xml:space="preserve"> nell’adozione di uno strumento regolamentare che governi la complessa materia e le problematiche connesse al rumore ambientale ed all’inquinamento acustico.</w:t>
      </w:r>
    </w:p>
    <w:p w:rsidR="00E448A5" w:rsidRPr="00E448A5" w:rsidRDefault="00E448A5" w:rsidP="002F7DA7">
      <w:pPr>
        <w:jc w:val="both"/>
        <w:rPr>
          <w:b/>
        </w:rPr>
      </w:pPr>
      <w:r>
        <w:t>E’ importante ribadire come detta questione sia stata finora completamente sottovalutata</w:t>
      </w:r>
      <w:r w:rsidR="00DD06B7">
        <w:t xml:space="preserve"> dall’amministrazione</w:t>
      </w:r>
      <w:r>
        <w:t>, se non del tutto ignorata, giacché considerata –riduttivamente- e delimitata nell’ambito del controllo dell’ordine p</w:t>
      </w:r>
      <w:r w:rsidR="00F32086">
        <w:t>ubblico (fenomeno della movida)</w:t>
      </w:r>
      <w:r>
        <w:t xml:space="preserve"> o del traffico, mentre in realtà tutta la normativa comunitaria, na</w:t>
      </w:r>
      <w:r w:rsidR="00DD06B7">
        <w:t>zionale e regionale si fonda sui principi</w:t>
      </w:r>
      <w:r>
        <w:t xml:space="preserve"> di </w:t>
      </w:r>
      <w:r>
        <w:rPr>
          <w:b/>
        </w:rPr>
        <w:t xml:space="preserve">tutela </w:t>
      </w:r>
      <w:r w:rsidR="00DD06B7">
        <w:rPr>
          <w:b/>
        </w:rPr>
        <w:t xml:space="preserve">dell’ambiente di vita e di lavoro, e di tutela </w:t>
      </w:r>
      <w:r>
        <w:rPr>
          <w:b/>
        </w:rPr>
        <w:t>della salu</w:t>
      </w:r>
      <w:r w:rsidR="00DD06B7">
        <w:rPr>
          <w:b/>
        </w:rPr>
        <w:t>te dei cittadini, come interessi prioritari e costituzionalmente garantiti, non suscettibili di compromissione alcuna.</w:t>
      </w:r>
    </w:p>
    <w:p w:rsidR="00DD06B7" w:rsidRDefault="00E448A5" w:rsidP="00DD06B7">
      <w:pPr>
        <w:autoSpaceDE w:val="0"/>
        <w:autoSpaceDN w:val="0"/>
        <w:adjustRightInd w:val="0"/>
        <w:jc w:val="both"/>
      </w:pPr>
      <w:r>
        <w:t xml:space="preserve">Infatti, </w:t>
      </w:r>
      <w:r w:rsidR="00DD06B7">
        <w:t xml:space="preserve">le finalità sia </w:t>
      </w:r>
      <w:r w:rsidR="0003626B">
        <w:t>del</w:t>
      </w:r>
      <w:r w:rsidR="00DD06B7">
        <w:t>l</w:t>
      </w:r>
      <w:r w:rsidR="0003626B">
        <w:t>a Legge Quadro 447/95, sia del</w:t>
      </w:r>
      <w:r w:rsidR="00DD06B7">
        <w:t xml:space="preserve"> DLgs.vo </w:t>
      </w:r>
      <w:r w:rsidR="0003626B">
        <w:t>194/2005 reso</w:t>
      </w:r>
      <w:r w:rsidR="00DD06B7">
        <w:t xml:space="preserve"> in attuazione della Direttiva comunitaria 200</w:t>
      </w:r>
      <w:r w:rsidR="0022747E">
        <w:t>2</w:t>
      </w:r>
      <w:r w:rsidR="00DD06B7">
        <w:t>/49/CE, sono indirizz</w:t>
      </w:r>
      <w:r w:rsidR="0003626B">
        <w:t>ati</w:t>
      </w:r>
      <w:r w:rsidR="00DD06B7">
        <w:t xml:space="preserve"> verso il conseguimento</w:t>
      </w:r>
      <w:r w:rsidR="0003626B">
        <w:t xml:space="preserve"> di</w:t>
      </w:r>
      <w:r w:rsidR="00DD06B7">
        <w:t xml:space="preserve"> </w:t>
      </w:r>
      <w:r w:rsidR="00DD06B7" w:rsidRPr="00DD06B7">
        <w:rPr>
          <w:i/>
        </w:rPr>
        <w:t>“un elevato livello di tutela della salute e dell’ambiente ed uno degli obiettivi da perseguire in tale contesto è la protezione dall’inquinamento acustico”</w:t>
      </w:r>
      <w:r w:rsidR="00DD06B7">
        <w:t xml:space="preserve"> (cfr Direttiva Comunitaria citata).</w:t>
      </w:r>
    </w:p>
    <w:p w:rsidR="00DD06B7" w:rsidRDefault="009A4292" w:rsidP="00DD06B7">
      <w:pPr>
        <w:autoSpaceDE w:val="0"/>
        <w:autoSpaceDN w:val="0"/>
        <w:adjustRightInd w:val="0"/>
        <w:jc w:val="both"/>
      </w:pPr>
      <w:r>
        <w:t>Pertanto, in questa prospettiva ed in questo senso è improntata ed indirizzata la ratio dello strumento attuativo oggetto della proposta di delibera di iniziativa popolare.</w:t>
      </w:r>
    </w:p>
    <w:p w:rsidR="009A4292" w:rsidRDefault="009A4292" w:rsidP="00DD06B7">
      <w:pPr>
        <w:autoSpaceDE w:val="0"/>
        <w:autoSpaceDN w:val="0"/>
        <w:adjustRightInd w:val="0"/>
        <w:jc w:val="both"/>
      </w:pPr>
    </w:p>
    <w:p w:rsidR="0003626B" w:rsidRDefault="009A4292" w:rsidP="00DD06B7">
      <w:pPr>
        <w:autoSpaceDE w:val="0"/>
        <w:autoSpaceDN w:val="0"/>
        <w:adjustRightInd w:val="0"/>
        <w:jc w:val="both"/>
      </w:pPr>
      <w:r>
        <w:tab/>
      </w:r>
      <w:r>
        <w:rPr>
          <w:b/>
        </w:rPr>
        <w:t xml:space="preserve">3 </w:t>
      </w:r>
      <w:r w:rsidR="0003626B">
        <w:rPr>
          <w:b/>
        </w:rPr>
        <w:t>–</w:t>
      </w:r>
      <w:r>
        <w:rPr>
          <w:b/>
        </w:rPr>
        <w:t xml:space="preserve"> </w:t>
      </w:r>
      <w:r w:rsidR="0003626B">
        <w:t xml:space="preserve">In tema di inquinamento acustico l’operato delle amministrazioni cittadine che si sono succedute dal 2002 e fino ad oggi, </w:t>
      </w:r>
      <w:r w:rsidR="0022747E">
        <w:t xml:space="preserve">è stato del tutto insufficiente. </w:t>
      </w:r>
      <w:r w:rsidR="0003626B">
        <w:t>Allo stato attuale mancano del tutto:</w:t>
      </w:r>
    </w:p>
    <w:p w:rsidR="0003626B" w:rsidRDefault="0003626B" w:rsidP="00DD06B7">
      <w:pPr>
        <w:autoSpaceDE w:val="0"/>
        <w:autoSpaceDN w:val="0"/>
        <w:adjustRightInd w:val="0"/>
        <w:jc w:val="both"/>
      </w:pPr>
      <w:r>
        <w:t>-</w:t>
      </w:r>
      <w:r w:rsidRPr="00746A59">
        <w:rPr>
          <w:b/>
        </w:rPr>
        <w:t>i piani</w:t>
      </w:r>
      <w:r w:rsidR="00746A59">
        <w:rPr>
          <w:b/>
        </w:rPr>
        <w:t xml:space="preserve"> comunali</w:t>
      </w:r>
      <w:r w:rsidRPr="00746A59">
        <w:rPr>
          <w:b/>
        </w:rPr>
        <w:t xml:space="preserve"> di risanamento acustico</w:t>
      </w:r>
      <w:r>
        <w:t xml:space="preserve"> previsti dalla L</w:t>
      </w:r>
      <w:r w:rsidR="00C54F01">
        <w:t>egge Quadro 447/95 e dal</w:t>
      </w:r>
      <w:r>
        <w:t xml:space="preserve"> Piano di Zonizzazione Acustica di cui alla delibera C.C. 60/2002;</w:t>
      </w:r>
    </w:p>
    <w:p w:rsidR="0003626B" w:rsidRDefault="0003626B" w:rsidP="00DD06B7">
      <w:pPr>
        <w:autoSpaceDE w:val="0"/>
        <w:autoSpaceDN w:val="0"/>
        <w:adjustRightInd w:val="0"/>
        <w:jc w:val="both"/>
        <w:rPr>
          <w:rStyle w:val="Enfasicorsivo"/>
        </w:rPr>
      </w:pPr>
      <w:r>
        <w:t>-</w:t>
      </w:r>
      <w:r w:rsidRPr="00746A59">
        <w:rPr>
          <w:b/>
        </w:rPr>
        <w:t xml:space="preserve">la mappatura </w:t>
      </w:r>
      <w:r w:rsidRPr="00746A59">
        <w:rPr>
          <w:rStyle w:val="Enfasicorsivo"/>
          <w:b/>
          <w:i w:val="0"/>
          <w:color w:val="000000"/>
        </w:rPr>
        <w:t>acustica e le mappe acustiche strategiche</w:t>
      </w:r>
      <w:r>
        <w:rPr>
          <w:rStyle w:val="Enfasicorsivo"/>
          <w:i w:val="0"/>
          <w:color w:val="000000"/>
        </w:rPr>
        <w:t xml:space="preserve"> previste dal DLgs.vo 194/2005 (con Delibera n.663/2007 la Giunta della Regione Lazio ha indicato il Comune di Roma come ente delegato agli adempimenti previsti dal DLgs.vo 194/2005 e dalla Direttiva Comunitaria del 200</w:t>
      </w:r>
      <w:r w:rsidR="0022747E">
        <w:rPr>
          <w:rStyle w:val="Enfasicorsivo"/>
          <w:i w:val="0"/>
          <w:color w:val="000000"/>
        </w:rPr>
        <w:t>2</w:t>
      </w:r>
      <w:r>
        <w:rPr>
          <w:rStyle w:val="Enfasicorsivo"/>
          <w:i w:val="0"/>
          <w:color w:val="000000"/>
        </w:rPr>
        <w:t>);</w:t>
      </w:r>
    </w:p>
    <w:p w:rsidR="0003626B" w:rsidRDefault="0003626B" w:rsidP="00DD06B7">
      <w:pPr>
        <w:autoSpaceDE w:val="0"/>
        <w:autoSpaceDN w:val="0"/>
        <w:adjustRightInd w:val="0"/>
        <w:jc w:val="both"/>
        <w:rPr>
          <w:rStyle w:val="Enfasicorsivo"/>
        </w:rPr>
      </w:pPr>
      <w:r>
        <w:rPr>
          <w:rStyle w:val="Enfasicorsivo"/>
          <w:i w:val="0"/>
          <w:color w:val="000000"/>
        </w:rPr>
        <w:t>-</w:t>
      </w:r>
      <w:r w:rsidR="00746A59" w:rsidRPr="00746A59">
        <w:rPr>
          <w:rStyle w:val="Enfasicorsivo"/>
          <w:b/>
          <w:i w:val="0"/>
          <w:color w:val="000000"/>
        </w:rPr>
        <w:t>i piani d’azione</w:t>
      </w:r>
      <w:r w:rsidR="00746A59">
        <w:rPr>
          <w:rStyle w:val="Enfasicorsivo"/>
          <w:i w:val="0"/>
          <w:color w:val="000000"/>
        </w:rPr>
        <w:t xml:space="preserve"> conseguenti della mappatura pure previsti dal DLgs.vo 194/2005;</w:t>
      </w:r>
    </w:p>
    <w:p w:rsidR="00746A59" w:rsidRDefault="00746A59" w:rsidP="00DD06B7">
      <w:pPr>
        <w:autoSpaceDE w:val="0"/>
        <w:autoSpaceDN w:val="0"/>
        <w:adjustRightInd w:val="0"/>
        <w:jc w:val="both"/>
        <w:rPr>
          <w:rStyle w:val="Enfasicorsivo"/>
        </w:rPr>
      </w:pPr>
      <w:r>
        <w:rPr>
          <w:rStyle w:val="Enfasicorsivo"/>
          <w:i w:val="0"/>
          <w:color w:val="000000"/>
        </w:rPr>
        <w:t xml:space="preserve">-i piani e le azioni per </w:t>
      </w:r>
      <w:r w:rsidRPr="00746A59">
        <w:rPr>
          <w:rStyle w:val="Enfasicorsivo"/>
          <w:b/>
          <w:i w:val="0"/>
          <w:color w:val="000000"/>
        </w:rPr>
        <w:t>il monitoraggio dei livelli di inquinamento acustico</w:t>
      </w:r>
      <w:r>
        <w:rPr>
          <w:rStyle w:val="Enfasicorsivo"/>
          <w:i w:val="0"/>
          <w:color w:val="000000"/>
        </w:rPr>
        <w:t>;</w:t>
      </w:r>
    </w:p>
    <w:p w:rsidR="00746A59" w:rsidRDefault="00746A59" w:rsidP="00DD06B7">
      <w:pPr>
        <w:autoSpaceDE w:val="0"/>
        <w:autoSpaceDN w:val="0"/>
        <w:adjustRightInd w:val="0"/>
        <w:jc w:val="both"/>
        <w:rPr>
          <w:rStyle w:val="Enfasicorsivo"/>
        </w:rPr>
      </w:pPr>
      <w:r>
        <w:rPr>
          <w:rStyle w:val="Enfasicorsivo"/>
          <w:i w:val="0"/>
          <w:color w:val="000000"/>
        </w:rPr>
        <w:t>-</w:t>
      </w:r>
      <w:r w:rsidRPr="00746A59">
        <w:rPr>
          <w:rStyle w:val="Enfasicorsivo"/>
          <w:b/>
          <w:i w:val="0"/>
          <w:color w:val="000000"/>
        </w:rPr>
        <w:t>l’aggiornamento dello strumento attuativo della Zonizzazione Acustica</w:t>
      </w:r>
      <w:r>
        <w:rPr>
          <w:rStyle w:val="Enfasicorsivo"/>
          <w:i w:val="0"/>
          <w:color w:val="000000"/>
        </w:rPr>
        <w:t>;</w:t>
      </w:r>
    </w:p>
    <w:p w:rsidR="00746A59" w:rsidRDefault="00746A59" w:rsidP="00DD06B7">
      <w:pPr>
        <w:autoSpaceDE w:val="0"/>
        <w:autoSpaceDN w:val="0"/>
        <w:adjustRightInd w:val="0"/>
        <w:jc w:val="both"/>
        <w:rPr>
          <w:rStyle w:val="Enfasicorsivo"/>
        </w:rPr>
      </w:pPr>
      <w:r>
        <w:rPr>
          <w:rStyle w:val="Enfasicorsivo"/>
          <w:i w:val="0"/>
          <w:color w:val="000000"/>
        </w:rPr>
        <w:t>-</w:t>
      </w:r>
      <w:r w:rsidRPr="00746A59">
        <w:rPr>
          <w:rStyle w:val="Enfasicorsivo"/>
          <w:b/>
          <w:i w:val="0"/>
          <w:color w:val="000000"/>
        </w:rPr>
        <w:t>le norme, i procedimenti e le sanzioni, a livello comunale, per il governo del rumore ambientale, per la prevenzione dell’inquinamento acustico e per la repressione dei fenomeni dannosi</w:t>
      </w:r>
      <w:r>
        <w:rPr>
          <w:rStyle w:val="Enfasicorsivo"/>
          <w:b/>
          <w:i w:val="0"/>
          <w:color w:val="000000"/>
        </w:rPr>
        <w:t>.</w:t>
      </w:r>
    </w:p>
    <w:p w:rsidR="00C54F01" w:rsidRDefault="00C54F01" w:rsidP="00C54F01">
      <w:pPr>
        <w:autoSpaceDE w:val="0"/>
        <w:autoSpaceDN w:val="0"/>
        <w:adjustRightInd w:val="0"/>
        <w:jc w:val="both"/>
        <w:rPr>
          <w:b/>
          <w:bCs/>
          <w:iCs/>
        </w:rPr>
      </w:pPr>
      <w:r>
        <w:rPr>
          <w:rStyle w:val="Enfasicorsivo"/>
          <w:i w:val="0"/>
          <w:color w:val="000000"/>
        </w:rPr>
        <w:t xml:space="preserve">Ed in particolare, è proprio la mancata redazione ed adozione dei piani d’azione e di quanto altro previsto dalla Direttiva Comunitaria </w:t>
      </w:r>
      <w:r w:rsidRPr="00C54F01">
        <w:t>2002/49/CE</w:t>
      </w:r>
      <w:r>
        <w:t xml:space="preserve"> e dal DLgs.vo 194/2005, che ha determinato </w:t>
      </w:r>
      <w:r>
        <w:rPr>
          <w:b/>
        </w:rPr>
        <w:t>l’apertura di un procedimento d’infrazione presso la UE</w:t>
      </w:r>
      <w:r w:rsidRPr="00C54F01">
        <w:rPr>
          <w:i/>
        </w:rPr>
        <w:t xml:space="preserve"> </w:t>
      </w:r>
      <w:r w:rsidRPr="00C54F01">
        <w:rPr>
          <w:bCs/>
          <w:iCs/>
        </w:rPr>
        <w:t>(articoli 258 e 260 del Trattato sul Funzionamento dell’</w:t>
      </w:r>
      <w:r>
        <w:rPr>
          <w:bCs/>
          <w:iCs/>
        </w:rPr>
        <w:t>Unione E</w:t>
      </w:r>
      <w:r w:rsidRPr="00C54F01">
        <w:rPr>
          <w:bCs/>
          <w:iCs/>
        </w:rPr>
        <w:t>uropea - art. 14, lett. c, della legge 24 dicembre 2012, n. 234)</w:t>
      </w:r>
      <w:r>
        <w:rPr>
          <w:bCs/>
          <w:iCs/>
        </w:rPr>
        <w:t xml:space="preserve"> </w:t>
      </w:r>
      <w:r>
        <w:rPr>
          <w:b/>
          <w:bCs/>
          <w:iCs/>
        </w:rPr>
        <w:t>n.2022/2013 del 24.04.2013.</w:t>
      </w:r>
    </w:p>
    <w:p w:rsidR="00834608" w:rsidRPr="00834608" w:rsidRDefault="00834608" w:rsidP="00834608">
      <w:pPr>
        <w:autoSpaceDE w:val="0"/>
        <w:autoSpaceDN w:val="0"/>
        <w:adjustRightInd w:val="0"/>
        <w:jc w:val="both"/>
      </w:pPr>
      <w:r>
        <w:rPr>
          <w:b/>
          <w:bCs/>
          <w:iCs/>
        </w:rPr>
        <w:tab/>
      </w:r>
      <w:r>
        <w:rPr>
          <w:bCs/>
          <w:iCs/>
        </w:rPr>
        <w:t xml:space="preserve">Il </w:t>
      </w:r>
      <w:r w:rsidRPr="00834608">
        <w:rPr>
          <w:bCs/>
          <w:i/>
          <w:iCs/>
        </w:rPr>
        <w:t>“Rapporto sulla gestione dell’inquinamento acustico nelle aree metropolitane”</w:t>
      </w:r>
      <w:r>
        <w:rPr>
          <w:bCs/>
          <w:i/>
          <w:iCs/>
        </w:rPr>
        <w:t>,</w:t>
      </w:r>
      <w:r>
        <w:rPr>
          <w:bCs/>
          <w:iCs/>
        </w:rPr>
        <w:t xml:space="preserve"> reso  dall’APAT - </w:t>
      </w:r>
      <w:r w:rsidRPr="00834608">
        <w:t>Dipartimento Stato dell’Ambiente e Metrologia Ambientale, Servizio Agenti Fisici</w:t>
      </w:r>
      <w:r>
        <w:t>, ha certificato che lo stato di attuazione della normativa per la città di Roma è fermo al 2004.</w:t>
      </w:r>
    </w:p>
    <w:p w:rsidR="00C54F01" w:rsidRDefault="00C54F01" w:rsidP="00C54F01">
      <w:pPr>
        <w:autoSpaceDE w:val="0"/>
        <w:autoSpaceDN w:val="0"/>
        <w:adjustRightInd w:val="0"/>
        <w:jc w:val="both"/>
        <w:rPr>
          <w:b/>
          <w:bCs/>
          <w:iCs/>
        </w:rPr>
      </w:pPr>
    </w:p>
    <w:p w:rsidR="00C54F01" w:rsidRDefault="00C54F01" w:rsidP="00C54F01">
      <w:pPr>
        <w:autoSpaceDE w:val="0"/>
        <w:autoSpaceDN w:val="0"/>
        <w:adjustRightInd w:val="0"/>
        <w:jc w:val="both"/>
        <w:rPr>
          <w:bCs/>
          <w:iCs/>
        </w:rPr>
      </w:pPr>
      <w:r>
        <w:rPr>
          <w:b/>
          <w:bCs/>
          <w:iCs/>
        </w:rPr>
        <w:tab/>
        <w:t xml:space="preserve">4 </w:t>
      </w:r>
      <w:r w:rsidR="000406FE">
        <w:rPr>
          <w:b/>
          <w:bCs/>
          <w:iCs/>
        </w:rPr>
        <w:t>–</w:t>
      </w:r>
      <w:r>
        <w:rPr>
          <w:b/>
          <w:bCs/>
          <w:iCs/>
        </w:rPr>
        <w:t xml:space="preserve"> </w:t>
      </w:r>
      <w:r w:rsidR="000406FE">
        <w:rPr>
          <w:bCs/>
          <w:iCs/>
        </w:rPr>
        <w:t xml:space="preserve">L’improcrastinabile necessità ed urgenza di provvedere all’approvazione ed adozione del nuovo regolamento oggetto della proposta di delibera di iniziativa popolare, emerge in tutta evidenza dall’esame dei dati e degli studi circa gli effetti </w:t>
      </w:r>
      <w:r w:rsidR="00FC7505">
        <w:rPr>
          <w:bCs/>
          <w:iCs/>
        </w:rPr>
        <w:t xml:space="preserve">dell’inquinamento acustico </w:t>
      </w:r>
      <w:r w:rsidR="000406FE">
        <w:rPr>
          <w:bCs/>
          <w:iCs/>
        </w:rPr>
        <w:t>sulla salute dei cittadini</w:t>
      </w:r>
      <w:r w:rsidR="00FC7505">
        <w:rPr>
          <w:bCs/>
          <w:iCs/>
        </w:rPr>
        <w:t>.</w:t>
      </w:r>
    </w:p>
    <w:p w:rsidR="00FC7505" w:rsidRDefault="00FC7505" w:rsidP="00C54F01">
      <w:pPr>
        <w:autoSpaceDE w:val="0"/>
        <w:autoSpaceDN w:val="0"/>
        <w:adjustRightInd w:val="0"/>
        <w:jc w:val="both"/>
        <w:rPr>
          <w:bCs/>
          <w:iCs/>
        </w:rPr>
      </w:pPr>
      <w:r>
        <w:rPr>
          <w:bCs/>
          <w:iCs/>
        </w:rPr>
        <w:t>Infatti:</w:t>
      </w:r>
    </w:p>
    <w:p w:rsidR="00FC7505" w:rsidRDefault="009E5E87" w:rsidP="009E5E87">
      <w:pPr>
        <w:numPr>
          <w:ilvl w:val="0"/>
          <w:numId w:val="1"/>
        </w:numPr>
        <w:autoSpaceDE w:val="0"/>
        <w:autoSpaceDN w:val="0"/>
        <w:adjustRightInd w:val="0"/>
        <w:jc w:val="both"/>
        <w:rPr>
          <w:bCs/>
          <w:iCs/>
        </w:rPr>
      </w:pPr>
      <w:r>
        <w:rPr>
          <w:bCs/>
          <w:iCs/>
        </w:rPr>
        <w:t>L’ISPRA nel Rapporto Finale del 2010 “</w:t>
      </w:r>
      <w:r>
        <w:rPr>
          <w:bCs/>
          <w:i/>
          <w:iCs/>
        </w:rPr>
        <w:t>Valutazione dell’esposizione al rumore della popolazione”</w:t>
      </w:r>
      <w:r>
        <w:rPr>
          <w:bCs/>
          <w:iCs/>
        </w:rPr>
        <w:t xml:space="preserve"> riporta che il 20% della popolazione delle città metropolitane, fra cui Roma, è esposto a livelli di inquinamento acustico superiori ai limiti imposti dalla normativa e tali da comprovare l’emergere di gravi rischi per la salute.</w:t>
      </w:r>
    </w:p>
    <w:p w:rsidR="009E5E87" w:rsidRDefault="009E5E87" w:rsidP="009E5E87">
      <w:pPr>
        <w:numPr>
          <w:ilvl w:val="0"/>
          <w:numId w:val="1"/>
        </w:numPr>
        <w:autoSpaceDE w:val="0"/>
        <w:autoSpaceDN w:val="0"/>
        <w:adjustRightInd w:val="0"/>
        <w:jc w:val="both"/>
        <w:rPr>
          <w:bCs/>
          <w:iCs/>
        </w:rPr>
      </w:pPr>
      <w:r>
        <w:rPr>
          <w:bCs/>
          <w:iCs/>
        </w:rPr>
        <w:t>L’Ufficio Regionale Europeo dell’OMS, nel varare le Linee Guida per la tutela della salute e contro i rischi dell’inquinamento acustico notturno, rese nel 2011, ha confermato che le principali città Italiane, fra le quali Roma, hanno gravi criticità e rischi legati all’emergere di patologie conseguenti agli elevati livelli di inquinamento acustico.</w:t>
      </w:r>
    </w:p>
    <w:p w:rsidR="009E5E87" w:rsidRDefault="00152A0B" w:rsidP="009E5E87">
      <w:pPr>
        <w:numPr>
          <w:ilvl w:val="0"/>
          <w:numId w:val="1"/>
        </w:numPr>
        <w:autoSpaceDE w:val="0"/>
        <w:autoSpaceDN w:val="0"/>
        <w:adjustRightInd w:val="0"/>
        <w:jc w:val="both"/>
        <w:rPr>
          <w:bCs/>
          <w:iCs/>
        </w:rPr>
      </w:pPr>
      <w:r>
        <w:rPr>
          <w:bCs/>
          <w:iCs/>
        </w:rPr>
        <w:t>Nella relazione dell’Università di Trieste e dell’ISTIEE, resa nel 2008, il costo sociale ed economico dell’inquinamento acustico è stato stimato pari all’1% del PIL, con evidenti segnali di crescita esponenziali negli anni successivi.</w:t>
      </w:r>
    </w:p>
    <w:p w:rsidR="00152A0B" w:rsidRDefault="00152A0B" w:rsidP="009E5E87">
      <w:pPr>
        <w:numPr>
          <w:ilvl w:val="0"/>
          <w:numId w:val="1"/>
        </w:numPr>
        <w:autoSpaceDE w:val="0"/>
        <w:autoSpaceDN w:val="0"/>
        <w:adjustRightInd w:val="0"/>
        <w:jc w:val="both"/>
        <w:rPr>
          <w:bCs/>
          <w:iCs/>
        </w:rPr>
      </w:pPr>
      <w:r>
        <w:rPr>
          <w:bCs/>
          <w:iCs/>
        </w:rPr>
        <w:t>Tutte le indagini epidemiologiche svolte degli istituti nazionali, dagli organi e dipartimenti del Ministero della Salute, dall’ISTAT e dalle ASL, testimoniano l’enorme aumento della patologie legate e determinate dagli elevati livelli di inquinamento acustico; ad esempio i casi di ipoacusia nell’area metropolitana di Roma sono aumentati negli anni dal 2008 e fino al 2012 del 30%.</w:t>
      </w:r>
    </w:p>
    <w:p w:rsidR="00152A0B" w:rsidRDefault="00152A0B" w:rsidP="00152A0B">
      <w:pPr>
        <w:autoSpaceDE w:val="0"/>
        <w:autoSpaceDN w:val="0"/>
        <w:adjustRightInd w:val="0"/>
        <w:jc w:val="both"/>
        <w:rPr>
          <w:bCs/>
          <w:iCs/>
        </w:rPr>
      </w:pPr>
    </w:p>
    <w:p w:rsidR="00152A0B" w:rsidRDefault="00152A0B" w:rsidP="00152A0B">
      <w:pPr>
        <w:autoSpaceDE w:val="0"/>
        <w:autoSpaceDN w:val="0"/>
        <w:adjustRightInd w:val="0"/>
        <w:jc w:val="both"/>
        <w:rPr>
          <w:bCs/>
          <w:iCs/>
        </w:rPr>
      </w:pPr>
      <w:r>
        <w:rPr>
          <w:bCs/>
          <w:iCs/>
        </w:rPr>
        <w:tab/>
      </w:r>
      <w:r>
        <w:rPr>
          <w:b/>
          <w:bCs/>
          <w:iCs/>
        </w:rPr>
        <w:t xml:space="preserve">5 </w:t>
      </w:r>
      <w:r w:rsidR="00701E15">
        <w:rPr>
          <w:b/>
          <w:bCs/>
          <w:iCs/>
        </w:rPr>
        <w:t>–</w:t>
      </w:r>
      <w:r>
        <w:rPr>
          <w:b/>
          <w:bCs/>
          <w:iCs/>
        </w:rPr>
        <w:t xml:space="preserve"> </w:t>
      </w:r>
      <w:r w:rsidR="00701E15">
        <w:rPr>
          <w:bCs/>
          <w:iCs/>
        </w:rPr>
        <w:t>Una particolare attenzione nella redazione del Regolamento, è stata posta in relazione all’inquinamento acustico derivato dal cosid</w:t>
      </w:r>
      <w:r w:rsidR="00782935">
        <w:rPr>
          <w:bCs/>
          <w:iCs/>
        </w:rPr>
        <w:t>d</w:t>
      </w:r>
      <w:r w:rsidR="00701E15">
        <w:rPr>
          <w:bCs/>
          <w:iCs/>
        </w:rPr>
        <w:t>etto fenomeno della “movida” che si svolge in alcuni ambiti territoriali ben definiti, sia nel centro che in altre aree della città comunque limitrofe al centro storico.</w:t>
      </w:r>
    </w:p>
    <w:p w:rsidR="00701E15" w:rsidRDefault="002941A2" w:rsidP="00152A0B">
      <w:pPr>
        <w:autoSpaceDE w:val="0"/>
        <w:autoSpaceDN w:val="0"/>
        <w:adjustRightInd w:val="0"/>
        <w:jc w:val="both"/>
        <w:rPr>
          <w:bCs/>
          <w:iCs/>
        </w:rPr>
      </w:pPr>
      <w:r>
        <w:rPr>
          <w:bCs/>
          <w:iCs/>
        </w:rPr>
        <w:tab/>
        <w:t>Infatti, l’elevatissima concentrazione di attività commerciali dedicate alla ristorazione ed al divertimento notturno, nonchè la mancanza di regolamentazione sugli orari di apertura dei detti locali che si protrae per tutta la notte senza soluzione di continuità, comporta nelle zone interessate un abnorme aumento del traffico veicolare (affatto contenuto da un sistema di ZTL insufficiente e disorganizzato) e della frequentazione antropica</w:t>
      </w:r>
      <w:r w:rsidR="00FF4C11">
        <w:rPr>
          <w:bCs/>
          <w:iCs/>
        </w:rPr>
        <w:t xml:space="preserve"> tali</w:t>
      </w:r>
      <w:r>
        <w:rPr>
          <w:bCs/>
          <w:iCs/>
        </w:rPr>
        <w:t xml:space="preserve"> che il livello di attenzione delle emissioni acustiche come definito dal DCPM del 1997 e che segnala l’emergere di gravi rischi per la salute, viene sistematicamente superato.</w:t>
      </w:r>
    </w:p>
    <w:p w:rsidR="002941A2" w:rsidRDefault="002941A2" w:rsidP="00152A0B">
      <w:pPr>
        <w:autoSpaceDE w:val="0"/>
        <w:autoSpaceDN w:val="0"/>
        <w:adjustRightInd w:val="0"/>
        <w:jc w:val="both"/>
        <w:rPr>
          <w:bCs/>
          <w:iCs/>
        </w:rPr>
      </w:pPr>
      <w:r>
        <w:rPr>
          <w:bCs/>
          <w:iCs/>
        </w:rPr>
        <w:tab/>
      </w:r>
      <w:bookmarkStart w:id="0" w:name="_GoBack"/>
      <w:r>
        <w:rPr>
          <w:bCs/>
          <w:iCs/>
        </w:rPr>
        <w:t xml:space="preserve">I monitoraggi eseguiti dall’Arpa Lazio su richiesta del Municipio Centro Storico negli anni 2008, 2009 e 2010, hanno rilevato nei rioni del centro cittadino valori fra i 70 e gli 80 db nelle ore dalle 22.00 alle 03.00 della notte, livelli che avrebbero dovuto imporre l’emissione da parte del Sindaco o dell’amministrazione comunali, di provvedimenti urgenti e contingibili a tutela </w:t>
      </w:r>
      <w:r w:rsidR="00FF4C11">
        <w:rPr>
          <w:bCs/>
          <w:iCs/>
        </w:rPr>
        <w:t xml:space="preserve">della salute della collettività e che però sono </w:t>
      </w:r>
      <w:r w:rsidR="00A67383">
        <w:rPr>
          <w:bCs/>
          <w:iCs/>
        </w:rPr>
        <w:t>stati sempre omessi</w:t>
      </w:r>
      <w:r w:rsidR="00FF4C11">
        <w:rPr>
          <w:bCs/>
          <w:iCs/>
        </w:rPr>
        <w:t>.</w:t>
      </w:r>
    </w:p>
    <w:p w:rsidR="00FF4C11" w:rsidRDefault="00FF4C11" w:rsidP="00152A0B">
      <w:pPr>
        <w:autoSpaceDE w:val="0"/>
        <w:autoSpaceDN w:val="0"/>
        <w:adjustRightInd w:val="0"/>
        <w:jc w:val="both"/>
        <w:rPr>
          <w:bCs/>
          <w:iCs/>
        </w:rPr>
      </w:pPr>
      <w:r>
        <w:rPr>
          <w:bCs/>
          <w:iCs/>
        </w:rPr>
        <w:tab/>
        <w:t>L’assoluta mancanza di controlli e di un regime sanzionatorio valido ed efficace con riguardo alle emissioni acustiche dei locali che svolgono intrattenimento musicale o spettacolo dal vivo, nonchè sulle discoteche e su tutte le attività di intrattenimento che si svolgono all’aperto nel periodo estivo e primaverile, hanno aggravato la situazione già precaria.</w:t>
      </w:r>
    </w:p>
    <w:bookmarkEnd w:id="0"/>
    <w:p w:rsidR="00BB6FFE" w:rsidRDefault="00BB6FFE" w:rsidP="00152A0B">
      <w:pPr>
        <w:autoSpaceDE w:val="0"/>
        <w:autoSpaceDN w:val="0"/>
        <w:adjustRightInd w:val="0"/>
        <w:jc w:val="both"/>
      </w:pPr>
      <w:r>
        <w:rPr>
          <w:bCs/>
          <w:iCs/>
        </w:rPr>
        <w:tab/>
        <w:t xml:space="preserve">Eppure, </w:t>
      </w:r>
      <w:r w:rsidR="00D34DF0">
        <w:rPr>
          <w:bCs/>
          <w:iCs/>
        </w:rPr>
        <w:t xml:space="preserve">è principio ormai pacifico e ribadito da numerosi pronunciamenti giurisprudenziali, nonchè dalla Circolare 06.09.2004 </w:t>
      </w:r>
      <w:r w:rsidR="00D34DF0">
        <w:rPr>
          <w:bCs/>
          <w:i/>
          <w:iCs/>
        </w:rPr>
        <w:t xml:space="preserve">“Interpretazione in materia di inquinamento acustico” del Ministero dell’ambiente” </w:t>
      </w:r>
      <w:r w:rsidR="00D34DF0">
        <w:rPr>
          <w:bCs/>
          <w:iCs/>
        </w:rPr>
        <w:t xml:space="preserve">(GU n.217 del 15.09.2004), </w:t>
      </w:r>
      <w:r w:rsidR="00CD286C">
        <w:rPr>
          <w:bCs/>
          <w:iCs/>
        </w:rPr>
        <w:t xml:space="preserve">quello </w:t>
      </w:r>
      <w:r w:rsidR="00D34DF0">
        <w:rPr>
          <w:bCs/>
          <w:iCs/>
        </w:rPr>
        <w:t xml:space="preserve">secondo il quale i limiti acustici </w:t>
      </w:r>
      <w:r w:rsidR="00D34DF0" w:rsidRPr="00D34DF0">
        <w:rPr>
          <w:b/>
          <w:bCs/>
          <w:iCs/>
        </w:rPr>
        <w:t xml:space="preserve">si applicano alle attività </w:t>
      </w:r>
      <w:r w:rsidR="00D34DF0">
        <w:rPr>
          <w:b/>
          <w:bCs/>
          <w:iCs/>
        </w:rPr>
        <w:t xml:space="preserve">e comportamenti </w:t>
      </w:r>
      <w:r w:rsidR="00D34DF0" w:rsidRPr="005A5D61">
        <w:rPr>
          <w:b/>
          <w:bCs/>
          <w:iCs/>
          <w:u w:val="single"/>
        </w:rPr>
        <w:t xml:space="preserve">connessi </w:t>
      </w:r>
      <w:r w:rsidR="00D34DF0">
        <w:rPr>
          <w:b/>
          <w:bCs/>
          <w:iCs/>
        </w:rPr>
        <w:t xml:space="preserve">alle attività commerciali, fra i quali vanno inclusi gli avventori dei locali, </w:t>
      </w:r>
      <w:r w:rsidR="005A5D61">
        <w:t>in specie</w:t>
      </w:r>
      <w:r w:rsidR="00D34DF0" w:rsidRPr="00D34DF0">
        <w:t xml:space="preserve"> la</w:t>
      </w:r>
      <w:r w:rsidR="00D34DF0">
        <w:t xml:space="preserve">ddove la </w:t>
      </w:r>
      <w:r w:rsidR="00D34DF0" w:rsidRPr="00D34DF0">
        <w:t xml:space="preserve"> partico</w:t>
      </w:r>
      <w:r w:rsidR="00D34DF0">
        <w:t>lare concentrazione degli stessi</w:t>
      </w:r>
      <w:r w:rsidR="00A50B6F">
        <w:t xml:space="preserve"> in una via con più locali, diviene</w:t>
      </w:r>
      <w:r w:rsidR="00D34DF0" w:rsidRPr="00D34DF0">
        <w:t xml:space="preserve"> fonte di inquinamento acustico da riconoscere come sog</w:t>
      </w:r>
      <w:r w:rsidR="00D34DF0">
        <w:t>getta alle norme sul rumore.</w:t>
      </w:r>
    </w:p>
    <w:p w:rsidR="002941A2" w:rsidRDefault="00D34DF0" w:rsidP="00152A0B">
      <w:pPr>
        <w:autoSpaceDE w:val="0"/>
        <w:autoSpaceDN w:val="0"/>
        <w:adjustRightInd w:val="0"/>
        <w:jc w:val="both"/>
        <w:rPr>
          <w:bCs/>
          <w:iCs/>
        </w:rPr>
      </w:pPr>
      <w:r>
        <w:tab/>
      </w:r>
      <w:r w:rsidR="00A50B6F">
        <w:t>E lo stesso DLgs.vo 194/2005 laddove ha indicato come rumore ambientale “</w:t>
      </w:r>
      <w:r w:rsidR="00A50B6F" w:rsidRPr="00A50B6F">
        <w:rPr>
          <w:i/>
          <w:color w:val="000000"/>
        </w:rPr>
        <w:t>i suoni indesiderati o nocivi in ambiente esterno prodotti dalle attività umane</w:t>
      </w:r>
      <w:r w:rsidR="00A50B6F">
        <w:rPr>
          <w:i/>
          <w:color w:val="000000"/>
        </w:rPr>
        <w:t xml:space="preserve">” </w:t>
      </w:r>
      <w:r w:rsidR="00A50B6F">
        <w:rPr>
          <w:color w:val="000000"/>
        </w:rPr>
        <w:t xml:space="preserve">(art.2, comma 1, lettera </w:t>
      </w:r>
      <w:r w:rsidR="00A50B6F" w:rsidRPr="00A50B6F">
        <w:rPr>
          <w:i/>
          <w:color w:val="000000"/>
        </w:rPr>
        <w:t>t</w:t>
      </w:r>
      <w:r w:rsidR="00A50B6F">
        <w:rPr>
          <w:color w:val="000000"/>
        </w:rPr>
        <w:t>) ed ha escluso solamente il “</w:t>
      </w:r>
      <w:r w:rsidR="00A50B6F" w:rsidRPr="00A50B6F">
        <w:rPr>
          <w:i/>
        </w:rPr>
        <w:t>rumore generato dalla persona esposta, dalle attività domestiche, proprie o del vicinat</w:t>
      </w:r>
      <w:r w:rsidR="00A50B6F">
        <w:rPr>
          <w:i/>
        </w:rPr>
        <w:t xml:space="preserve">o” </w:t>
      </w:r>
      <w:r w:rsidR="00A50B6F">
        <w:t>(art.1 comma 2)</w:t>
      </w:r>
      <w:r w:rsidR="00A50B6F">
        <w:rPr>
          <w:b/>
          <w:bCs/>
          <w:iCs/>
        </w:rPr>
        <w:t xml:space="preserve">, </w:t>
      </w:r>
      <w:r w:rsidR="00A50B6F">
        <w:rPr>
          <w:bCs/>
          <w:iCs/>
        </w:rPr>
        <w:t>ha confermato quanto innanzi.</w:t>
      </w:r>
    </w:p>
    <w:p w:rsidR="00CD286C" w:rsidRDefault="00A50B6F" w:rsidP="00CD286C">
      <w:pPr>
        <w:jc w:val="both"/>
        <w:rPr>
          <w:i/>
        </w:rPr>
      </w:pPr>
      <w:r>
        <w:rPr>
          <w:bCs/>
          <w:iCs/>
        </w:rPr>
        <w:tab/>
        <w:t>In realtà, l’amministrazione comunale non ha mai attuato politiche di decentramento delle attività legate al divertimento ed alla ristorazione –che ben potevano far parte di piani di risanamento acustico previsti dalla normativa vigente e mai adottati- né ha posto in essere p</w:t>
      </w:r>
      <w:r w:rsidR="00CD286C">
        <w:rPr>
          <w:bCs/>
          <w:iCs/>
        </w:rPr>
        <w:t>rovvedimenti</w:t>
      </w:r>
      <w:r>
        <w:rPr>
          <w:bCs/>
          <w:iCs/>
        </w:rPr>
        <w:t xml:space="preserve"> di regolazi</w:t>
      </w:r>
      <w:r w:rsidR="00CD286C">
        <w:rPr>
          <w:bCs/>
          <w:iCs/>
        </w:rPr>
        <w:t xml:space="preserve">one degli orari dei </w:t>
      </w:r>
      <w:r w:rsidR="00B53480">
        <w:rPr>
          <w:bCs/>
          <w:iCs/>
        </w:rPr>
        <w:t>apertura degli esercizi commerc</w:t>
      </w:r>
      <w:r w:rsidR="00CD286C">
        <w:rPr>
          <w:bCs/>
          <w:iCs/>
        </w:rPr>
        <w:t xml:space="preserve">iali, pure attuabili e legittimi secondo </w:t>
      </w:r>
      <w:r w:rsidR="00CD286C">
        <w:t>l’indicazione che veniva dalla Circolare Esplicativa del Ministero dello Sviluppo Economico n.3644/C del 2011: ”</w:t>
      </w:r>
      <w:r w:rsidR="00CD286C">
        <w:rPr>
          <w:i/>
        </w:rPr>
        <w:t>provvedimenti finalizzati a limitari gli orari di apertura notturna delle attività di somministrazione di alimenti e bevande possono continuare ad essere adottati potendosi legittimamente sostenere che trattasi di vincoli necessari ad evitare danno alla sicurezza, e indispensabili per la protezione della salute umana, dell’ambiente, del paesaggio e del patrimonio culturale, espressamente richiamati come limiti ammissibili all’attività privata dall’Art.3 comma 1 del D.L.13.08.2011 convertito in Legge n.148/2011”.</w:t>
      </w:r>
    </w:p>
    <w:p w:rsidR="00CD286C" w:rsidRDefault="00CD286C" w:rsidP="00CD286C">
      <w:pPr>
        <w:jc w:val="both"/>
      </w:pPr>
      <w:r>
        <w:rPr>
          <w:i/>
        </w:rPr>
        <w:tab/>
      </w:r>
      <w:r>
        <w:t xml:space="preserve">Ed ancora, il sistema di limitazione della circolazione veicolare in specie nelle ore notturne, </w:t>
      </w:r>
      <w:r w:rsidR="005A5D61">
        <w:t xml:space="preserve">da attuare </w:t>
      </w:r>
      <w:r>
        <w:t>con isole pedonali e Zone  Traffico Limitato, è del tutt</w:t>
      </w:r>
      <w:r w:rsidR="005A5D61">
        <w:t>o insufficiente e disorganizzato</w:t>
      </w:r>
      <w:r>
        <w:t>: basti porre attenzione al fatto che il Piano del Traffico Urbano risale al 1999 e non è mai stato aggiornato.</w:t>
      </w:r>
      <w:r w:rsidR="00C03C74">
        <w:t xml:space="preserve"> Solo ora il nuovo PGTU sta percorrendo l’iter verso la sua approvazione.</w:t>
      </w:r>
    </w:p>
    <w:p w:rsidR="00CD286C" w:rsidRDefault="00CD286C" w:rsidP="00CD286C">
      <w:pPr>
        <w:jc w:val="both"/>
      </w:pPr>
    </w:p>
    <w:p w:rsidR="00CD286C" w:rsidRDefault="00CD286C" w:rsidP="00CD286C">
      <w:pPr>
        <w:jc w:val="center"/>
      </w:pPr>
      <w:r>
        <w:t>*</w:t>
      </w:r>
    </w:p>
    <w:p w:rsidR="00174755" w:rsidRDefault="00174755" w:rsidP="00CD286C">
      <w:pPr>
        <w:jc w:val="both"/>
        <w:rPr>
          <w:b/>
        </w:rPr>
      </w:pPr>
    </w:p>
    <w:p w:rsidR="00174755" w:rsidRDefault="00174755" w:rsidP="00CD286C">
      <w:pPr>
        <w:jc w:val="both"/>
        <w:rPr>
          <w:b/>
        </w:rPr>
      </w:pPr>
    </w:p>
    <w:p w:rsidR="00174755" w:rsidRDefault="00174755" w:rsidP="00CD286C">
      <w:pPr>
        <w:jc w:val="both"/>
        <w:rPr>
          <w:b/>
        </w:rPr>
      </w:pPr>
    </w:p>
    <w:p w:rsidR="00174755" w:rsidRDefault="00174755" w:rsidP="00CD286C">
      <w:pPr>
        <w:jc w:val="both"/>
        <w:rPr>
          <w:b/>
        </w:rPr>
      </w:pPr>
    </w:p>
    <w:p w:rsidR="00174755" w:rsidRDefault="00174755" w:rsidP="00CD286C">
      <w:pPr>
        <w:jc w:val="both"/>
        <w:rPr>
          <w:b/>
        </w:rPr>
      </w:pPr>
    </w:p>
    <w:p w:rsidR="00174755" w:rsidRDefault="00174755" w:rsidP="00CD286C">
      <w:pPr>
        <w:jc w:val="both"/>
        <w:rPr>
          <w:b/>
        </w:rPr>
      </w:pPr>
    </w:p>
    <w:p w:rsidR="00174755" w:rsidRDefault="00174755" w:rsidP="00CD286C">
      <w:pPr>
        <w:jc w:val="both"/>
        <w:rPr>
          <w:b/>
        </w:rPr>
      </w:pPr>
    </w:p>
    <w:p w:rsidR="00174755" w:rsidRDefault="00174755" w:rsidP="00CD286C">
      <w:pPr>
        <w:jc w:val="both"/>
        <w:rPr>
          <w:b/>
        </w:rPr>
      </w:pPr>
    </w:p>
    <w:p w:rsidR="00174755" w:rsidRDefault="00174755" w:rsidP="00CD286C">
      <w:pPr>
        <w:jc w:val="both"/>
        <w:rPr>
          <w:b/>
        </w:rPr>
      </w:pPr>
    </w:p>
    <w:p w:rsidR="00174755" w:rsidRDefault="00174755" w:rsidP="00CD286C">
      <w:pPr>
        <w:jc w:val="both"/>
        <w:rPr>
          <w:b/>
        </w:rPr>
      </w:pPr>
    </w:p>
    <w:p w:rsidR="00174755" w:rsidRDefault="00174755" w:rsidP="00CD286C">
      <w:pPr>
        <w:jc w:val="both"/>
        <w:rPr>
          <w:b/>
        </w:rPr>
      </w:pPr>
    </w:p>
    <w:p w:rsidR="00174755" w:rsidRDefault="00174755" w:rsidP="00CD286C">
      <w:pPr>
        <w:jc w:val="both"/>
        <w:rPr>
          <w:b/>
        </w:rPr>
      </w:pPr>
    </w:p>
    <w:p w:rsidR="00CD286C" w:rsidRDefault="00722C18" w:rsidP="00CD286C">
      <w:pPr>
        <w:jc w:val="both"/>
        <w:rPr>
          <w:b/>
        </w:rPr>
      </w:pPr>
      <w:r>
        <w:rPr>
          <w:b/>
        </w:rPr>
        <w:t>TESTO DEL REGOLAMENTO E CONTENUTI</w:t>
      </w:r>
    </w:p>
    <w:p w:rsidR="00722C18" w:rsidRDefault="00722C18" w:rsidP="00CD286C">
      <w:pPr>
        <w:jc w:val="both"/>
        <w:rPr>
          <w:b/>
        </w:rPr>
      </w:pPr>
    </w:p>
    <w:p w:rsidR="00722C18" w:rsidRDefault="00A806BA" w:rsidP="00CD286C">
      <w:pPr>
        <w:jc w:val="both"/>
      </w:pPr>
      <w:r>
        <w:tab/>
        <w:t>Il Regolamento è composto di n</w:t>
      </w:r>
      <w:r w:rsidR="00722C18">
        <w:t>.</w:t>
      </w:r>
      <w:r>
        <w:t xml:space="preserve"> 4</w:t>
      </w:r>
      <w:r w:rsidR="00A3685D">
        <w:t>5</w:t>
      </w:r>
      <w:r>
        <w:t xml:space="preserve"> articoli, divisi in n. 8 </w:t>
      </w:r>
      <w:r w:rsidR="00722C18">
        <w:t>Titoli così suddivisi:</w:t>
      </w:r>
    </w:p>
    <w:p w:rsidR="00174755" w:rsidRDefault="00174755" w:rsidP="00CD286C">
      <w:pPr>
        <w:jc w:val="both"/>
      </w:pPr>
      <w:r w:rsidRPr="00922260">
        <w:rPr>
          <w:b/>
        </w:rPr>
        <w:t>TITOLO I</w:t>
      </w:r>
      <w:r>
        <w:t>: Disposizioni generali</w:t>
      </w:r>
      <w:r w:rsidR="00FB3015">
        <w:t>- artt.1-2-3</w:t>
      </w:r>
      <w:r>
        <w:t xml:space="preserve">; </w:t>
      </w:r>
      <w:r w:rsidRPr="00922260">
        <w:rPr>
          <w:b/>
        </w:rPr>
        <w:t>TITOLO II</w:t>
      </w:r>
      <w:r>
        <w:t>: Zonizzazione acustica</w:t>
      </w:r>
      <w:r w:rsidR="00A3685D">
        <w:t xml:space="preserve"> (Capo I: Pianificazione acustica del territorio artt.4-5-6-7-8; Capo II: Risanamento acustico ambientale artt.9-10-11-12; Capo III: </w:t>
      </w:r>
      <w:r w:rsidR="00FB3015">
        <w:t>Determinazione e gestione del rumore ambientale ai sensi del D.Lgs.vo 194/2005-adempimenti del Comune di Roma artt.13-14-15-16-17</w:t>
      </w:r>
      <w:r w:rsidR="00A3685D">
        <w:t>)</w:t>
      </w:r>
      <w:r>
        <w:t xml:space="preserve">; </w:t>
      </w:r>
      <w:r w:rsidRPr="00922260">
        <w:rPr>
          <w:b/>
        </w:rPr>
        <w:t>TITOLO III</w:t>
      </w:r>
      <w:r>
        <w:t>: Gestione acustica del territorio</w:t>
      </w:r>
      <w:r w:rsidR="00FB3015">
        <w:t xml:space="preserve"> (Capo I: Attività di pianificazione e programmazione degli interventi urbanistici artt.18-19-20-</w:t>
      </w:r>
      <w:r w:rsidR="00A93CA0">
        <w:t>21; Capo II: Attività abilitative all’edificazione e/o al cambio di destinazione d’uso artt.22-23; Capo III: Attività rumorose</w:t>
      </w:r>
      <w:r w:rsidR="00D73A07">
        <w:t xml:space="preserve"> a carattere permanente:dichiarazione di compatibilità acustica ambientale per l’autorizzazione all’esercizio artt.24-25-26-27-28-29-30)</w:t>
      </w:r>
      <w:r>
        <w:t xml:space="preserve">; </w:t>
      </w:r>
      <w:r w:rsidRPr="00922260">
        <w:rPr>
          <w:b/>
        </w:rPr>
        <w:t>TITOLO IV</w:t>
      </w:r>
      <w:r>
        <w:t>: Attività a carattere temporaneo</w:t>
      </w:r>
      <w:r w:rsidR="00D73A07">
        <w:t>- artt.31-32-33-34-35-36</w:t>
      </w:r>
      <w:r>
        <w:t xml:space="preserve">; </w:t>
      </w:r>
      <w:r w:rsidRPr="00922260">
        <w:rPr>
          <w:b/>
        </w:rPr>
        <w:t>TITOLO V</w:t>
      </w:r>
      <w:r>
        <w:t>: Attività di vigilanza e controllo</w:t>
      </w:r>
      <w:r w:rsidR="00D73A07">
        <w:t>- artt.37-38</w:t>
      </w:r>
      <w:r>
        <w:t xml:space="preserve">; </w:t>
      </w:r>
      <w:r w:rsidRPr="00922260">
        <w:rPr>
          <w:b/>
        </w:rPr>
        <w:t>TITOLO VI</w:t>
      </w:r>
      <w:r>
        <w:t>: Informazione e partecipazione della comunità cittadina</w:t>
      </w:r>
      <w:r w:rsidR="00D73A07">
        <w:t>- artt.39-40</w:t>
      </w:r>
      <w:r>
        <w:t xml:space="preserve">; </w:t>
      </w:r>
      <w:r w:rsidRPr="00922260">
        <w:rPr>
          <w:b/>
        </w:rPr>
        <w:t>TITOLO VII</w:t>
      </w:r>
      <w:r>
        <w:t>: Sanzioni</w:t>
      </w:r>
      <w:r w:rsidR="00D73A07">
        <w:t>-artt.41-42-43</w:t>
      </w:r>
      <w:r>
        <w:t xml:space="preserve">; </w:t>
      </w:r>
      <w:r w:rsidRPr="00922260">
        <w:rPr>
          <w:b/>
        </w:rPr>
        <w:t>TITOLO VIII</w:t>
      </w:r>
      <w:r>
        <w:t xml:space="preserve">: </w:t>
      </w:r>
      <w:r w:rsidR="00C03B82">
        <w:t>Disposizioni</w:t>
      </w:r>
      <w:r>
        <w:t xml:space="preserve"> finali e transitorie</w:t>
      </w:r>
      <w:r w:rsidR="00D73A07">
        <w:t>- artt.44-45</w:t>
      </w:r>
      <w:r>
        <w:t>.</w:t>
      </w:r>
    </w:p>
    <w:p w:rsidR="00C03B82" w:rsidRDefault="00C03B82" w:rsidP="00CD286C">
      <w:pPr>
        <w:jc w:val="both"/>
      </w:pPr>
    </w:p>
    <w:p w:rsidR="00C03B82" w:rsidRDefault="00A903CD" w:rsidP="00CD286C">
      <w:pPr>
        <w:jc w:val="both"/>
      </w:pPr>
      <w:r>
        <w:t xml:space="preserve">Art.1:Finalità; Art.2:Definizioni; Art.3:Compiti dell’Amministrazione comunale; Art.4: Zonizzazione acustica del territorio comunale; Art.5:Classificazione acustica del territorio comunale; Art.6:Gestione della zonizzazione acustica; Art.7:Relazione biennale sullo stato acustico; Art.8:Coordinamento della classificazione acustica con gli altri strumenti urbanistici; Art.9:Piano comunale di risanamento acustico; Art.10:Adozione del Piano comunale di risanamento acustico; Art.11:Piani di risanamento acustico delle imprese; Art.12:Piani di risanamento acustico degli enti gestori di servizi pubblici di trasporto e relative infrastrutture; Art.13:Agglomerato ed autorità individuata; Art.14:Mappe acustiche strategiche; </w:t>
      </w:r>
      <w:r w:rsidR="00256D2E">
        <w:t>Art.15:Piano di azione; Art.16:Descrittori acustici; Art.17:Informazione e consultazione del pubblico; Art.18:Soggetti obbligati alla valutazione previsionale di clima/impatto acustico ambientale; Art.19:Rilascio di parere di clima/impatto acustico ambientale; Art.20:Monitoraggio acustico ambientale del traffico veicolare; Art.21:Monitoraggio acustico ambientale della movida; Art.22:</w:t>
      </w:r>
      <w:r w:rsidR="00901B1E">
        <w:t>Soggetti obbligati; Art.23: Disciplina del procedimento; Art.24:Soggetti obbligati; Art.25:Disciplina del procedimento; Art.26:Limiti specifici per discoteche, sale da ballo e strutture destinate allo spettacolo; Art.27:Dichiarazione previsionale di compatibilità acustica ambientale dei procedimenti di autorizzazione per la realizzazione, l’ampliamento, la ristrutturazione e la riconversione degli impianti produttivi; Art.28:Parere/nulla osta impatto acustico ambientale:volture; Art.29:Segnalazioni di inquinamento acustico ad istanza di parte; Art.30:Rilascio del parere nulla/osta di impatto acustico ambientale per le attività a carattere ciclico o stagionale; Art.31:Attività temporanee; Art.32:Eventi a carattere temporaneo; Art.33:Disciplina del procedimento di autorizzazione; Art.34:Autorizzazioni in deroga ai limiti acustici; Art.35:Autorizzazioni in deroga ai limiti acustici per attività temporanee non di cantiere; Art.36:Autorizzazione in deroga ai limiti acustici ambientali per le attività temporanee di cantiere; Art.37:</w:t>
      </w:r>
      <w:r w:rsidR="00674F21">
        <w:t xml:space="preserve">Compiti degli uffici centrali e municipali, titolari </w:t>
      </w:r>
      <w:r w:rsidR="00FA15B2">
        <w:t xml:space="preserve">del procedimento amministrativo; </w:t>
      </w:r>
      <w:r w:rsidR="00674F21">
        <w:t>Art.38:Compiti</w:t>
      </w:r>
      <w:r w:rsidR="00FA15B2">
        <w:t xml:space="preserve"> dei Gruppi di Polizia Municipale</w:t>
      </w:r>
      <w:r w:rsidR="00674F21">
        <w:t>;</w:t>
      </w:r>
      <w:r w:rsidR="00FA15B2">
        <w:t xml:space="preserve"> </w:t>
      </w:r>
      <w:r w:rsidR="00433F75">
        <w:t>Art.39:Il diritto all’informazione; Art.40:Il diritto alla partecipazione; Art.41</w:t>
      </w:r>
      <w:r w:rsidR="00D16CC7">
        <w:t xml:space="preserve">:Tipologia delle sanzioni; Art.42:Irrogazione della sanzione amministrativa pecuniaria: importo della sanzione e disciplina della riscossione; </w:t>
      </w:r>
      <w:r w:rsidR="000A4ED2">
        <w:t>Art.43:Sanzioni accessorie: Art.44:Disciplina finale; Art.45:Disciplina transitoria.</w:t>
      </w:r>
    </w:p>
    <w:p w:rsidR="0098177A" w:rsidRDefault="0098177A" w:rsidP="00DD06B7">
      <w:pPr>
        <w:autoSpaceDE w:val="0"/>
        <w:autoSpaceDN w:val="0"/>
        <w:adjustRightInd w:val="0"/>
        <w:jc w:val="both"/>
      </w:pPr>
    </w:p>
    <w:p w:rsidR="0098177A" w:rsidRDefault="0098177A" w:rsidP="00DD06B7">
      <w:pPr>
        <w:autoSpaceDE w:val="0"/>
        <w:autoSpaceDN w:val="0"/>
        <w:adjustRightInd w:val="0"/>
        <w:jc w:val="both"/>
      </w:pPr>
    </w:p>
    <w:p w:rsidR="0098177A" w:rsidRPr="00DD06B7" w:rsidRDefault="0098177A" w:rsidP="00DD06B7">
      <w:pPr>
        <w:autoSpaceDE w:val="0"/>
        <w:autoSpaceDN w:val="0"/>
        <w:adjustRightInd w:val="0"/>
        <w:jc w:val="both"/>
      </w:pPr>
    </w:p>
    <w:p w:rsidR="00033FAB" w:rsidRPr="00706715" w:rsidRDefault="00033FAB" w:rsidP="00706715">
      <w:pPr>
        <w:jc w:val="both"/>
      </w:pPr>
    </w:p>
    <w:p w:rsidR="00706715" w:rsidRDefault="00706715" w:rsidP="00706715">
      <w:pPr>
        <w:jc w:val="both"/>
        <w:rPr>
          <w:b/>
          <w:i/>
        </w:rPr>
      </w:pPr>
    </w:p>
    <w:p w:rsidR="00706715" w:rsidRPr="00706715" w:rsidRDefault="00706715" w:rsidP="00706715">
      <w:pPr>
        <w:jc w:val="both"/>
        <w:rPr>
          <w:b/>
          <w:i/>
        </w:rPr>
      </w:pPr>
    </w:p>
    <w:sectPr w:rsidR="00706715" w:rsidRPr="00706715" w:rsidSect="005A448E">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22" w:rsidRDefault="000D3222">
      <w:r>
        <w:separator/>
      </w:r>
    </w:p>
  </w:endnote>
  <w:endnote w:type="continuationSeparator" w:id="0">
    <w:p w:rsidR="000D3222" w:rsidRDefault="000D322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BPEAEL+TimesNewRoman,Bold">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22" w:rsidRDefault="005A448E" w:rsidP="00F44F01">
    <w:pPr>
      <w:pStyle w:val="Pidipagina"/>
      <w:framePr w:wrap="around" w:vAnchor="text" w:hAnchor="margin" w:xAlign="center" w:y="1"/>
      <w:rPr>
        <w:rStyle w:val="Numeropagina"/>
      </w:rPr>
    </w:pPr>
    <w:r>
      <w:rPr>
        <w:rStyle w:val="Numeropagina"/>
      </w:rPr>
      <w:fldChar w:fldCharType="begin"/>
    </w:r>
    <w:r w:rsidR="000D3222">
      <w:rPr>
        <w:rStyle w:val="Numeropagina"/>
      </w:rPr>
      <w:instrText xml:space="preserve">PAGE  </w:instrText>
    </w:r>
    <w:r>
      <w:rPr>
        <w:rStyle w:val="Numeropagina"/>
      </w:rPr>
      <w:fldChar w:fldCharType="end"/>
    </w:r>
  </w:p>
  <w:p w:rsidR="000D3222" w:rsidRDefault="000D3222">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22" w:rsidRDefault="005A448E" w:rsidP="00F44F01">
    <w:pPr>
      <w:pStyle w:val="Pidipagina"/>
      <w:framePr w:wrap="around" w:vAnchor="text" w:hAnchor="margin" w:xAlign="center" w:y="1"/>
      <w:rPr>
        <w:rStyle w:val="Numeropagina"/>
      </w:rPr>
    </w:pPr>
    <w:r>
      <w:rPr>
        <w:rStyle w:val="Numeropagina"/>
      </w:rPr>
      <w:fldChar w:fldCharType="begin"/>
    </w:r>
    <w:r w:rsidR="000D3222">
      <w:rPr>
        <w:rStyle w:val="Numeropagina"/>
      </w:rPr>
      <w:instrText xml:space="preserve">PAGE  </w:instrText>
    </w:r>
    <w:r>
      <w:rPr>
        <w:rStyle w:val="Numeropagina"/>
      </w:rPr>
      <w:fldChar w:fldCharType="separate"/>
    </w:r>
    <w:r w:rsidR="00351F27">
      <w:rPr>
        <w:rStyle w:val="Numeropagina"/>
        <w:noProof/>
      </w:rPr>
      <w:t>4</w:t>
    </w:r>
    <w:r>
      <w:rPr>
        <w:rStyle w:val="Numeropagina"/>
      </w:rPr>
      <w:fldChar w:fldCharType="end"/>
    </w:r>
  </w:p>
  <w:p w:rsidR="000D3222" w:rsidRDefault="000D3222">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22" w:rsidRDefault="000D3222">
      <w:r>
        <w:separator/>
      </w:r>
    </w:p>
  </w:footnote>
  <w:footnote w:type="continuationSeparator" w:id="0">
    <w:p w:rsidR="000D3222" w:rsidRDefault="000D322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C83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7D7B6B"/>
    <w:multiLevelType w:val="hybridMultilevel"/>
    <w:tmpl w:val="8D3CBDEA"/>
    <w:lvl w:ilvl="0" w:tplc="B6D6CADA">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701"/>
  <w:doNotTrackMoves/>
  <w:defaultTabStop w:val="708"/>
  <w:hyphenationZone w:val="283"/>
  <w:characterSpacingControl w:val="doNotCompress"/>
  <w:savePreviewPicture/>
  <w:footnotePr>
    <w:footnote w:id="-1"/>
    <w:footnote w:id="0"/>
  </w:footnotePr>
  <w:endnotePr>
    <w:endnote w:id="-1"/>
    <w:endnote w:id="0"/>
  </w:endnotePr>
  <w:compat/>
  <w:rsids>
    <w:rsidRoot w:val="00706715"/>
    <w:rsid w:val="00000870"/>
    <w:rsid w:val="00000B36"/>
    <w:rsid w:val="0000113A"/>
    <w:rsid w:val="00003A6F"/>
    <w:rsid w:val="00005143"/>
    <w:rsid w:val="000106A0"/>
    <w:rsid w:val="00011D29"/>
    <w:rsid w:val="00012240"/>
    <w:rsid w:val="00015514"/>
    <w:rsid w:val="0001640B"/>
    <w:rsid w:val="000171C1"/>
    <w:rsid w:val="0001732F"/>
    <w:rsid w:val="0002240D"/>
    <w:rsid w:val="00022B5F"/>
    <w:rsid w:val="00023A33"/>
    <w:rsid w:val="00023AC4"/>
    <w:rsid w:val="00023D93"/>
    <w:rsid w:val="000271D0"/>
    <w:rsid w:val="00027634"/>
    <w:rsid w:val="00030654"/>
    <w:rsid w:val="00033FAB"/>
    <w:rsid w:val="00034605"/>
    <w:rsid w:val="000354EC"/>
    <w:rsid w:val="0003573B"/>
    <w:rsid w:val="00035AC6"/>
    <w:rsid w:val="0003626B"/>
    <w:rsid w:val="000403EC"/>
    <w:rsid w:val="000406FE"/>
    <w:rsid w:val="0004117F"/>
    <w:rsid w:val="00042D30"/>
    <w:rsid w:val="00042DE9"/>
    <w:rsid w:val="00043069"/>
    <w:rsid w:val="00043864"/>
    <w:rsid w:val="00043AF1"/>
    <w:rsid w:val="00043EDC"/>
    <w:rsid w:val="000448CE"/>
    <w:rsid w:val="000449D9"/>
    <w:rsid w:val="00047F63"/>
    <w:rsid w:val="00050484"/>
    <w:rsid w:val="00051182"/>
    <w:rsid w:val="00054A8B"/>
    <w:rsid w:val="0005507D"/>
    <w:rsid w:val="00055A24"/>
    <w:rsid w:val="0005612D"/>
    <w:rsid w:val="00056474"/>
    <w:rsid w:val="00061053"/>
    <w:rsid w:val="00061DDD"/>
    <w:rsid w:val="0006483C"/>
    <w:rsid w:val="00064BE9"/>
    <w:rsid w:val="00066468"/>
    <w:rsid w:val="00076262"/>
    <w:rsid w:val="00077A18"/>
    <w:rsid w:val="000804AD"/>
    <w:rsid w:val="00081595"/>
    <w:rsid w:val="000819C1"/>
    <w:rsid w:val="00081C35"/>
    <w:rsid w:val="000835A5"/>
    <w:rsid w:val="0008461B"/>
    <w:rsid w:val="0008485F"/>
    <w:rsid w:val="00091F11"/>
    <w:rsid w:val="000921B8"/>
    <w:rsid w:val="00092A21"/>
    <w:rsid w:val="000937F2"/>
    <w:rsid w:val="00094507"/>
    <w:rsid w:val="00094DEC"/>
    <w:rsid w:val="00096882"/>
    <w:rsid w:val="000A2296"/>
    <w:rsid w:val="000A2426"/>
    <w:rsid w:val="000A3252"/>
    <w:rsid w:val="000A3BEB"/>
    <w:rsid w:val="000A4ED2"/>
    <w:rsid w:val="000B0933"/>
    <w:rsid w:val="000B0CDE"/>
    <w:rsid w:val="000B2243"/>
    <w:rsid w:val="000B285C"/>
    <w:rsid w:val="000B2E06"/>
    <w:rsid w:val="000B44B6"/>
    <w:rsid w:val="000B5EB8"/>
    <w:rsid w:val="000B70A8"/>
    <w:rsid w:val="000B7440"/>
    <w:rsid w:val="000B7D2C"/>
    <w:rsid w:val="000C0E7E"/>
    <w:rsid w:val="000C1111"/>
    <w:rsid w:val="000C193E"/>
    <w:rsid w:val="000C268F"/>
    <w:rsid w:val="000C2F6D"/>
    <w:rsid w:val="000C5B96"/>
    <w:rsid w:val="000D071C"/>
    <w:rsid w:val="000D107C"/>
    <w:rsid w:val="000D16C7"/>
    <w:rsid w:val="000D2213"/>
    <w:rsid w:val="000D3222"/>
    <w:rsid w:val="000D7B46"/>
    <w:rsid w:val="000D7EA0"/>
    <w:rsid w:val="000E01E5"/>
    <w:rsid w:val="000E0CEC"/>
    <w:rsid w:val="000E143C"/>
    <w:rsid w:val="000E3DE1"/>
    <w:rsid w:val="000E6FEB"/>
    <w:rsid w:val="000F00B1"/>
    <w:rsid w:val="000F0421"/>
    <w:rsid w:val="000F7AAE"/>
    <w:rsid w:val="000F7FCA"/>
    <w:rsid w:val="001008A0"/>
    <w:rsid w:val="00102794"/>
    <w:rsid w:val="00110F39"/>
    <w:rsid w:val="00110F89"/>
    <w:rsid w:val="0011332B"/>
    <w:rsid w:val="001143A4"/>
    <w:rsid w:val="00114966"/>
    <w:rsid w:val="00115449"/>
    <w:rsid w:val="001157E7"/>
    <w:rsid w:val="00116726"/>
    <w:rsid w:val="001219CB"/>
    <w:rsid w:val="001221CF"/>
    <w:rsid w:val="00123AF2"/>
    <w:rsid w:val="00126406"/>
    <w:rsid w:val="00126FAF"/>
    <w:rsid w:val="00130679"/>
    <w:rsid w:val="00131974"/>
    <w:rsid w:val="00132389"/>
    <w:rsid w:val="00132A54"/>
    <w:rsid w:val="00135EA0"/>
    <w:rsid w:val="00136365"/>
    <w:rsid w:val="00141DF2"/>
    <w:rsid w:val="00142AAF"/>
    <w:rsid w:val="00143AA0"/>
    <w:rsid w:val="00143C34"/>
    <w:rsid w:val="001444D4"/>
    <w:rsid w:val="00145E38"/>
    <w:rsid w:val="00146E9A"/>
    <w:rsid w:val="00147932"/>
    <w:rsid w:val="001514FE"/>
    <w:rsid w:val="001519EC"/>
    <w:rsid w:val="00152A0B"/>
    <w:rsid w:val="00152FFA"/>
    <w:rsid w:val="0015346C"/>
    <w:rsid w:val="00153BC8"/>
    <w:rsid w:val="00153EC7"/>
    <w:rsid w:val="00157963"/>
    <w:rsid w:val="00160A9C"/>
    <w:rsid w:val="00163082"/>
    <w:rsid w:val="00164278"/>
    <w:rsid w:val="00164A9C"/>
    <w:rsid w:val="001651E5"/>
    <w:rsid w:val="00165459"/>
    <w:rsid w:val="0016758A"/>
    <w:rsid w:val="00167BA3"/>
    <w:rsid w:val="00170E5B"/>
    <w:rsid w:val="00171E95"/>
    <w:rsid w:val="00173FFA"/>
    <w:rsid w:val="00174755"/>
    <w:rsid w:val="00174A6D"/>
    <w:rsid w:val="00174D66"/>
    <w:rsid w:val="00176122"/>
    <w:rsid w:val="001802BD"/>
    <w:rsid w:val="00180FC5"/>
    <w:rsid w:val="00182977"/>
    <w:rsid w:val="00184C94"/>
    <w:rsid w:val="001875A3"/>
    <w:rsid w:val="00190617"/>
    <w:rsid w:val="00190ED7"/>
    <w:rsid w:val="00191CE5"/>
    <w:rsid w:val="00195478"/>
    <w:rsid w:val="00197250"/>
    <w:rsid w:val="001A1A86"/>
    <w:rsid w:val="001A2598"/>
    <w:rsid w:val="001A2E7F"/>
    <w:rsid w:val="001A63CC"/>
    <w:rsid w:val="001B08A3"/>
    <w:rsid w:val="001B2A08"/>
    <w:rsid w:val="001B4140"/>
    <w:rsid w:val="001B55CE"/>
    <w:rsid w:val="001B631C"/>
    <w:rsid w:val="001C0DF5"/>
    <w:rsid w:val="001C1502"/>
    <w:rsid w:val="001C3B57"/>
    <w:rsid w:val="001C48F5"/>
    <w:rsid w:val="001C498C"/>
    <w:rsid w:val="001C5A8A"/>
    <w:rsid w:val="001C7BA2"/>
    <w:rsid w:val="001D0188"/>
    <w:rsid w:val="001D0323"/>
    <w:rsid w:val="001D3381"/>
    <w:rsid w:val="001D33A6"/>
    <w:rsid w:val="001D5856"/>
    <w:rsid w:val="001D72CC"/>
    <w:rsid w:val="001D7428"/>
    <w:rsid w:val="001E25FF"/>
    <w:rsid w:val="001E2C05"/>
    <w:rsid w:val="001E39D3"/>
    <w:rsid w:val="001E3CC3"/>
    <w:rsid w:val="001E3F96"/>
    <w:rsid w:val="001E445A"/>
    <w:rsid w:val="001E4775"/>
    <w:rsid w:val="001E7436"/>
    <w:rsid w:val="001E7C23"/>
    <w:rsid w:val="001F2064"/>
    <w:rsid w:val="001F2EBB"/>
    <w:rsid w:val="001F4C99"/>
    <w:rsid w:val="001F5418"/>
    <w:rsid w:val="001F5D61"/>
    <w:rsid w:val="001F754F"/>
    <w:rsid w:val="0020117D"/>
    <w:rsid w:val="00201334"/>
    <w:rsid w:val="00201AA4"/>
    <w:rsid w:val="002047D7"/>
    <w:rsid w:val="002105E2"/>
    <w:rsid w:val="002112AF"/>
    <w:rsid w:val="00211C3C"/>
    <w:rsid w:val="00214354"/>
    <w:rsid w:val="00221900"/>
    <w:rsid w:val="00222289"/>
    <w:rsid w:val="00222B8F"/>
    <w:rsid w:val="00222F04"/>
    <w:rsid w:val="002247FB"/>
    <w:rsid w:val="00224F63"/>
    <w:rsid w:val="0022747E"/>
    <w:rsid w:val="00227725"/>
    <w:rsid w:val="00227FA1"/>
    <w:rsid w:val="002304AF"/>
    <w:rsid w:val="00233DD8"/>
    <w:rsid w:val="002351F6"/>
    <w:rsid w:val="00240C6B"/>
    <w:rsid w:val="002412F0"/>
    <w:rsid w:val="00241546"/>
    <w:rsid w:val="0024205C"/>
    <w:rsid w:val="0024360A"/>
    <w:rsid w:val="00244522"/>
    <w:rsid w:val="00245A7C"/>
    <w:rsid w:val="00246B24"/>
    <w:rsid w:val="0024715A"/>
    <w:rsid w:val="002506C1"/>
    <w:rsid w:val="002525C5"/>
    <w:rsid w:val="00255922"/>
    <w:rsid w:val="00256693"/>
    <w:rsid w:val="00256D2E"/>
    <w:rsid w:val="002579F0"/>
    <w:rsid w:val="0026099B"/>
    <w:rsid w:val="0026151F"/>
    <w:rsid w:val="00262051"/>
    <w:rsid w:val="00262299"/>
    <w:rsid w:val="00262B4C"/>
    <w:rsid w:val="0026525C"/>
    <w:rsid w:val="00265437"/>
    <w:rsid w:val="0026581C"/>
    <w:rsid w:val="002658EE"/>
    <w:rsid w:val="00272FED"/>
    <w:rsid w:val="00276DE6"/>
    <w:rsid w:val="00277CC2"/>
    <w:rsid w:val="00280AD0"/>
    <w:rsid w:val="00283483"/>
    <w:rsid w:val="002842E9"/>
    <w:rsid w:val="002843B8"/>
    <w:rsid w:val="00284901"/>
    <w:rsid w:val="002859ED"/>
    <w:rsid w:val="00285DB7"/>
    <w:rsid w:val="00290689"/>
    <w:rsid w:val="00292743"/>
    <w:rsid w:val="00293D0C"/>
    <w:rsid w:val="002941A2"/>
    <w:rsid w:val="0029766E"/>
    <w:rsid w:val="00297FD3"/>
    <w:rsid w:val="002A15FB"/>
    <w:rsid w:val="002A220D"/>
    <w:rsid w:val="002A3482"/>
    <w:rsid w:val="002A35F6"/>
    <w:rsid w:val="002A395F"/>
    <w:rsid w:val="002A4DAC"/>
    <w:rsid w:val="002A69F0"/>
    <w:rsid w:val="002A752C"/>
    <w:rsid w:val="002B0683"/>
    <w:rsid w:val="002B1BE4"/>
    <w:rsid w:val="002B1E54"/>
    <w:rsid w:val="002B23A1"/>
    <w:rsid w:val="002B56AD"/>
    <w:rsid w:val="002B7520"/>
    <w:rsid w:val="002C0D29"/>
    <w:rsid w:val="002C331D"/>
    <w:rsid w:val="002C3BF8"/>
    <w:rsid w:val="002C5084"/>
    <w:rsid w:val="002C6B1E"/>
    <w:rsid w:val="002D057C"/>
    <w:rsid w:val="002D1BF4"/>
    <w:rsid w:val="002D1FA4"/>
    <w:rsid w:val="002D3393"/>
    <w:rsid w:val="002D4DDE"/>
    <w:rsid w:val="002D5286"/>
    <w:rsid w:val="002D545C"/>
    <w:rsid w:val="002E2077"/>
    <w:rsid w:val="002E2096"/>
    <w:rsid w:val="002E456E"/>
    <w:rsid w:val="002E4912"/>
    <w:rsid w:val="002E5BC0"/>
    <w:rsid w:val="002E5C78"/>
    <w:rsid w:val="002E7F0F"/>
    <w:rsid w:val="002F11B1"/>
    <w:rsid w:val="002F1836"/>
    <w:rsid w:val="002F2BA6"/>
    <w:rsid w:val="002F47AE"/>
    <w:rsid w:val="002F47C1"/>
    <w:rsid w:val="002F7133"/>
    <w:rsid w:val="002F7DA7"/>
    <w:rsid w:val="00300CFF"/>
    <w:rsid w:val="00304C93"/>
    <w:rsid w:val="003052BB"/>
    <w:rsid w:val="00305439"/>
    <w:rsid w:val="00306710"/>
    <w:rsid w:val="00307F73"/>
    <w:rsid w:val="00310288"/>
    <w:rsid w:val="0031141E"/>
    <w:rsid w:val="003124C7"/>
    <w:rsid w:val="00313A9D"/>
    <w:rsid w:val="00314804"/>
    <w:rsid w:val="0031659E"/>
    <w:rsid w:val="00316E6A"/>
    <w:rsid w:val="00316E72"/>
    <w:rsid w:val="00320719"/>
    <w:rsid w:val="0032091D"/>
    <w:rsid w:val="0032191E"/>
    <w:rsid w:val="003249FD"/>
    <w:rsid w:val="00326CE9"/>
    <w:rsid w:val="00333469"/>
    <w:rsid w:val="003338E9"/>
    <w:rsid w:val="00334A99"/>
    <w:rsid w:val="00336051"/>
    <w:rsid w:val="00342A51"/>
    <w:rsid w:val="0034332F"/>
    <w:rsid w:val="00343A22"/>
    <w:rsid w:val="003445E6"/>
    <w:rsid w:val="00346CF7"/>
    <w:rsid w:val="0035014D"/>
    <w:rsid w:val="003508EA"/>
    <w:rsid w:val="00351F27"/>
    <w:rsid w:val="00354ED7"/>
    <w:rsid w:val="00355068"/>
    <w:rsid w:val="00357330"/>
    <w:rsid w:val="003578A5"/>
    <w:rsid w:val="00362149"/>
    <w:rsid w:val="003627C4"/>
    <w:rsid w:val="00365342"/>
    <w:rsid w:val="00366F80"/>
    <w:rsid w:val="00367270"/>
    <w:rsid w:val="00370505"/>
    <w:rsid w:val="003718C0"/>
    <w:rsid w:val="00375350"/>
    <w:rsid w:val="00381258"/>
    <w:rsid w:val="00383D0E"/>
    <w:rsid w:val="00383EA6"/>
    <w:rsid w:val="003852AD"/>
    <w:rsid w:val="00386734"/>
    <w:rsid w:val="00387AE8"/>
    <w:rsid w:val="00390DB4"/>
    <w:rsid w:val="00391DAA"/>
    <w:rsid w:val="00392C24"/>
    <w:rsid w:val="00394CDB"/>
    <w:rsid w:val="003952E3"/>
    <w:rsid w:val="00396884"/>
    <w:rsid w:val="00397B2E"/>
    <w:rsid w:val="003A2056"/>
    <w:rsid w:val="003A31C7"/>
    <w:rsid w:val="003A7ACC"/>
    <w:rsid w:val="003B1469"/>
    <w:rsid w:val="003B1790"/>
    <w:rsid w:val="003B1FBC"/>
    <w:rsid w:val="003B67FE"/>
    <w:rsid w:val="003C0BEC"/>
    <w:rsid w:val="003C22CD"/>
    <w:rsid w:val="003C29C4"/>
    <w:rsid w:val="003C34D1"/>
    <w:rsid w:val="003C74D2"/>
    <w:rsid w:val="003D006B"/>
    <w:rsid w:val="003D05A7"/>
    <w:rsid w:val="003D07F3"/>
    <w:rsid w:val="003D72C7"/>
    <w:rsid w:val="003E05F5"/>
    <w:rsid w:val="003E3056"/>
    <w:rsid w:val="003E315C"/>
    <w:rsid w:val="003E49C3"/>
    <w:rsid w:val="003E4F1E"/>
    <w:rsid w:val="003E672D"/>
    <w:rsid w:val="003E70D2"/>
    <w:rsid w:val="003F164C"/>
    <w:rsid w:val="003F2785"/>
    <w:rsid w:val="003F27F1"/>
    <w:rsid w:val="003F3F4E"/>
    <w:rsid w:val="003F56F0"/>
    <w:rsid w:val="003F632D"/>
    <w:rsid w:val="00405A0F"/>
    <w:rsid w:val="00405CCB"/>
    <w:rsid w:val="004100DE"/>
    <w:rsid w:val="00413E93"/>
    <w:rsid w:val="00415700"/>
    <w:rsid w:val="00416133"/>
    <w:rsid w:val="004201B6"/>
    <w:rsid w:val="00421D63"/>
    <w:rsid w:val="00423FCB"/>
    <w:rsid w:val="0042489E"/>
    <w:rsid w:val="00426F3F"/>
    <w:rsid w:val="004320E8"/>
    <w:rsid w:val="00432CCB"/>
    <w:rsid w:val="00433F75"/>
    <w:rsid w:val="00436960"/>
    <w:rsid w:val="00437A00"/>
    <w:rsid w:val="00441587"/>
    <w:rsid w:val="004416D2"/>
    <w:rsid w:val="0044572B"/>
    <w:rsid w:val="004462FA"/>
    <w:rsid w:val="00451CED"/>
    <w:rsid w:val="004531F1"/>
    <w:rsid w:val="00453FEB"/>
    <w:rsid w:val="00455EFB"/>
    <w:rsid w:val="004579A7"/>
    <w:rsid w:val="0046317B"/>
    <w:rsid w:val="004644CB"/>
    <w:rsid w:val="0046579E"/>
    <w:rsid w:val="004701D9"/>
    <w:rsid w:val="00471B9F"/>
    <w:rsid w:val="0047267F"/>
    <w:rsid w:val="004737BC"/>
    <w:rsid w:val="00476B23"/>
    <w:rsid w:val="004825FF"/>
    <w:rsid w:val="00484EC5"/>
    <w:rsid w:val="0048534F"/>
    <w:rsid w:val="00485684"/>
    <w:rsid w:val="00486A1F"/>
    <w:rsid w:val="00486BC1"/>
    <w:rsid w:val="004903D1"/>
    <w:rsid w:val="00490658"/>
    <w:rsid w:val="00491B25"/>
    <w:rsid w:val="004928FD"/>
    <w:rsid w:val="00493145"/>
    <w:rsid w:val="00493DE4"/>
    <w:rsid w:val="004975FA"/>
    <w:rsid w:val="004976E7"/>
    <w:rsid w:val="00497762"/>
    <w:rsid w:val="004A2E5A"/>
    <w:rsid w:val="004A4952"/>
    <w:rsid w:val="004A5850"/>
    <w:rsid w:val="004A60C6"/>
    <w:rsid w:val="004B7562"/>
    <w:rsid w:val="004B7CE0"/>
    <w:rsid w:val="004B7DE2"/>
    <w:rsid w:val="004C075B"/>
    <w:rsid w:val="004C07B8"/>
    <w:rsid w:val="004C2B4E"/>
    <w:rsid w:val="004C3757"/>
    <w:rsid w:val="004C3C84"/>
    <w:rsid w:val="004C43CB"/>
    <w:rsid w:val="004C5941"/>
    <w:rsid w:val="004C64D7"/>
    <w:rsid w:val="004D0919"/>
    <w:rsid w:val="004D1124"/>
    <w:rsid w:val="004D13D0"/>
    <w:rsid w:val="004D211F"/>
    <w:rsid w:val="004D2AB8"/>
    <w:rsid w:val="004D3071"/>
    <w:rsid w:val="004D5A15"/>
    <w:rsid w:val="004D5B51"/>
    <w:rsid w:val="004E0462"/>
    <w:rsid w:val="004E0D2A"/>
    <w:rsid w:val="004E13E7"/>
    <w:rsid w:val="004E1D61"/>
    <w:rsid w:val="004E3940"/>
    <w:rsid w:val="004E48F3"/>
    <w:rsid w:val="004E64BA"/>
    <w:rsid w:val="004E770C"/>
    <w:rsid w:val="004E7B51"/>
    <w:rsid w:val="004F0DED"/>
    <w:rsid w:val="004F3802"/>
    <w:rsid w:val="004F4328"/>
    <w:rsid w:val="004F48EF"/>
    <w:rsid w:val="004F4F84"/>
    <w:rsid w:val="004F5C2F"/>
    <w:rsid w:val="004F694D"/>
    <w:rsid w:val="0050056A"/>
    <w:rsid w:val="00500887"/>
    <w:rsid w:val="005036FC"/>
    <w:rsid w:val="00504379"/>
    <w:rsid w:val="00507786"/>
    <w:rsid w:val="00507B79"/>
    <w:rsid w:val="00510E22"/>
    <w:rsid w:val="00517BC6"/>
    <w:rsid w:val="005219A3"/>
    <w:rsid w:val="00522279"/>
    <w:rsid w:val="0052324D"/>
    <w:rsid w:val="00523EE5"/>
    <w:rsid w:val="00524B4E"/>
    <w:rsid w:val="00524BE6"/>
    <w:rsid w:val="0052633C"/>
    <w:rsid w:val="00531251"/>
    <w:rsid w:val="00532A01"/>
    <w:rsid w:val="0053514B"/>
    <w:rsid w:val="0054135C"/>
    <w:rsid w:val="00542AB0"/>
    <w:rsid w:val="00543C52"/>
    <w:rsid w:val="00544AFA"/>
    <w:rsid w:val="00545444"/>
    <w:rsid w:val="00546878"/>
    <w:rsid w:val="00546C13"/>
    <w:rsid w:val="00550C30"/>
    <w:rsid w:val="005513C3"/>
    <w:rsid w:val="00553FE6"/>
    <w:rsid w:val="005607C9"/>
    <w:rsid w:val="005611F5"/>
    <w:rsid w:val="0056260A"/>
    <w:rsid w:val="005636FD"/>
    <w:rsid w:val="0056452C"/>
    <w:rsid w:val="00565939"/>
    <w:rsid w:val="00565F3C"/>
    <w:rsid w:val="00570936"/>
    <w:rsid w:val="00571144"/>
    <w:rsid w:val="005721B1"/>
    <w:rsid w:val="005722B7"/>
    <w:rsid w:val="00572A62"/>
    <w:rsid w:val="0057532E"/>
    <w:rsid w:val="005755B3"/>
    <w:rsid w:val="005763C3"/>
    <w:rsid w:val="005809C9"/>
    <w:rsid w:val="00583175"/>
    <w:rsid w:val="00584A2A"/>
    <w:rsid w:val="00584C6A"/>
    <w:rsid w:val="005855A3"/>
    <w:rsid w:val="00585EF2"/>
    <w:rsid w:val="00586FCE"/>
    <w:rsid w:val="00587F55"/>
    <w:rsid w:val="00590D57"/>
    <w:rsid w:val="00591DAB"/>
    <w:rsid w:val="00591E1F"/>
    <w:rsid w:val="00594DB6"/>
    <w:rsid w:val="00595D12"/>
    <w:rsid w:val="00597A1F"/>
    <w:rsid w:val="005A0482"/>
    <w:rsid w:val="005A0892"/>
    <w:rsid w:val="005A448E"/>
    <w:rsid w:val="005A5D61"/>
    <w:rsid w:val="005A5E38"/>
    <w:rsid w:val="005A63B9"/>
    <w:rsid w:val="005A651B"/>
    <w:rsid w:val="005B014A"/>
    <w:rsid w:val="005B023F"/>
    <w:rsid w:val="005B0B14"/>
    <w:rsid w:val="005B1A41"/>
    <w:rsid w:val="005B323C"/>
    <w:rsid w:val="005B4FCA"/>
    <w:rsid w:val="005B5C2B"/>
    <w:rsid w:val="005B69CB"/>
    <w:rsid w:val="005B729F"/>
    <w:rsid w:val="005C07F8"/>
    <w:rsid w:val="005C1462"/>
    <w:rsid w:val="005C22C9"/>
    <w:rsid w:val="005C47EC"/>
    <w:rsid w:val="005C484E"/>
    <w:rsid w:val="005C4B99"/>
    <w:rsid w:val="005C5249"/>
    <w:rsid w:val="005C57C0"/>
    <w:rsid w:val="005C5ED3"/>
    <w:rsid w:val="005C69E0"/>
    <w:rsid w:val="005C742C"/>
    <w:rsid w:val="005D066F"/>
    <w:rsid w:val="005D240B"/>
    <w:rsid w:val="005D4627"/>
    <w:rsid w:val="005D6FB0"/>
    <w:rsid w:val="005E0090"/>
    <w:rsid w:val="005E0AF9"/>
    <w:rsid w:val="005E2EA5"/>
    <w:rsid w:val="005E3181"/>
    <w:rsid w:val="005E4211"/>
    <w:rsid w:val="005E63CA"/>
    <w:rsid w:val="005E7E48"/>
    <w:rsid w:val="005F1CF1"/>
    <w:rsid w:val="005F23B4"/>
    <w:rsid w:val="005F4FA8"/>
    <w:rsid w:val="005F74A4"/>
    <w:rsid w:val="005F7F30"/>
    <w:rsid w:val="00600A07"/>
    <w:rsid w:val="0060175D"/>
    <w:rsid w:val="00602717"/>
    <w:rsid w:val="00602C96"/>
    <w:rsid w:val="006030EF"/>
    <w:rsid w:val="00603118"/>
    <w:rsid w:val="00603443"/>
    <w:rsid w:val="00603794"/>
    <w:rsid w:val="00605D54"/>
    <w:rsid w:val="00612D25"/>
    <w:rsid w:val="00613B61"/>
    <w:rsid w:val="00617546"/>
    <w:rsid w:val="006200F1"/>
    <w:rsid w:val="00621789"/>
    <w:rsid w:val="00623E5F"/>
    <w:rsid w:val="00625125"/>
    <w:rsid w:val="00626D20"/>
    <w:rsid w:val="00632278"/>
    <w:rsid w:val="00632EA6"/>
    <w:rsid w:val="0063324B"/>
    <w:rsid w:val="006359CE"/>
    <w:rsid w:val="00636B74"/>
    <w:rsid w:val="00640112"/>
    <w:rsid w:val="00640F0A"/>
    <w:rsid w:val="00644FEE"/>
    <w:rsid w:val="00652FC0"/>
    <w:rsid w:val="00654FC4"/>
    <w:rsid w:val="0066016A"/>
    <w:rsid w:val="00663DE1"/>
    <w:rsid w:val="00663F4F"/>
    <w:rsid w:val="00664E56"/>
    <w:rsid w:val="0066513B"/>
    <w:rsid w:val="00672A56"/>
    <w:rsid w:val="00672E0B"/>
    <w:rsid w:val="0067362F"/>
    <w:rsid w:val="00674E05"/>
    <w:rsid w:val="00674F21"/>
    <w:rsid w:val="0067516F"/>
    <w:rsid w:val="006763D2"/>
    <w:rsid w:val="006768DD"/>
    <w:rsid w:val="0068104E"/>
    <w:rsid w:val="00682B20"/>
    <w:rsid w:val="00683EA8"/>
    <w:rsid w:val="00690C12"/>
    <w:rsid w:val="00691962"/>
    <w:rsid w:val="00691E86"/>
    <w:rsid w:val="00692A5F"/>
    <w:rsid w:val="00693C84"/>
    <w:rsid w:val="006945FF"/>
    <w:rsid w:val="00696DFB"/>
    <w:rsid w:val="00697F1B"/>
    <w:rsid w:val="006A10A8"/>
    <w:rsid w:val="006A3367"/>
    <w:rsid w:val="006A3FE1"/>
    <w:rsid w:val="006A4174"/>
    <w:rsid w:val="006B212F"/>
    <w:rsid w:val="006B26BB"/>
    <w:rsid w:val="006B2E6A"/>
    <w:rsid w:val="006B310F"/>
    <w:rsid w:val="006B3247"/>
    <w:rsid w:val="006B355F"/>
    <w:rsid w:val="006B3FA1"/>
    <w:rsid w:val="006B46C9"/>
    <w:rsid w:val="006C0F29"/>
    <w:rsid w:val="006C2A2E"/>
    <w:rsid w:val="006C3AF1"/>
    <w:rsid w:val="006C5D03"/>
    <w:rsid w:val="006C5DB1"/>
    <w:rsid w:val="006D27A2"/>
    <w:rsid w:val="006D457F"/>
    <w:rsid w:val="006D4C38"/>
    <w:rsid w:val="006D4CD7"/>
    <w:rsid w:val="006D5677"/>
    <w:rsid w:val="006D5B03"/>
    <w:rsid w:val="006E1769"/>
    <w:rsid w:val="006E21D5"/>
    <w:rsid w:val="006E5912"/>
    <w:rsid w:val="006E5E1D"/>
    <w:rsid w:val="006F0117"/>
    <w:rsid w:val="006F0608"/>
    <w:rsid w:val="006F1297"/>
    <w:rsid w:val="006F3453"/>
    <w:rsid w:val="006F3989"/>
    <w:rsid w:val="00701E15"/>
    <w:rsid w:val="00705E30"/>
    <w:rsid w:val="00706217"/>
    <w:rsid w:val="00706715"/>
    <w:rsid w:val="0070685A"/>
    <w:rsid w:val="007118E2"/>
    <w:rsid w:val="00711CF9"/>
    <w:rsid w:val="0071307B"/>
    <w:rsid w:val="0071405A"/>
    <w:rsid w:val="00715CEC"/>
    <w:rsid w:val="00716990"/>
    <w:rsid w:val="00716CF8"/>
    <w:rsid w:val="00721585"/>
    <w:rsid w:val="00722953"/>
    <w:rsid w:val="00722C18"/>
    <w:rsid w:val="007259F3"/>
    <w:rsid w:val="0072789D"/>
    <w:rsid w:val="00727F8F"/>
    <w:rsid w:val="00733795"/>
    <w:rsid w:val="007340B4"/>
    <w:rsid w:val="00734A2C"/>
    <w:rsid w:val="00735D3A"/>
    <w:rsid w:val="00737CBB"/>
    <w:rsid w:val="00740792"/>
    <w:rsid w:val="00741EEC"/>
    <w:rsid w:val="00742C24"/>
    <w:rsid w:val="00742D54"/>
    <w:rsid w:val="007431E0"/>
    <w:rsid w:val="00744A14"/>
    <w:rsid w:val="00744FD7"/>
    <w:rsid w:val="00746A59"/>
    <w:rsid w:val="007479B2"/>
    <w:rsid w:val="00750864"/>
    <w:rsid w:val="0075264E"/>
    <w:rsid w:val="00753012"/>
    <w:rsid w:val="00753E8B"/>
    <w:rsid w:val="00754483"/>
    <w:rsid w:val="007545B7"/>
    <w:rsid w:val="00754C0C"/>
    <w:rsid w:val="0075550B"/>
    <w:rsid w:val="00760B79"/>
    <w:rsid w:val="00760BCB"/>
    <w:rsid w:val="00760E55"/>
    <w:rsid w:val="00761171"/>
    <w:rsid w:val="00762113"/>
    <w:rsid w:val="00765E89"/>
    <w:rsid w:val="00767000"/>
    <w:rsid w:val="00775436"/>
    <w:rsid w:val="00777082"/>
    <w:rsid w:val="00780265"/>
    <w:rsid w:val="00780360"/>
    <w:rsid w:val="00780A48"/>
    <w:rsid w:val="00782935"/>
    <w:rsid w:val="00784FC1"/>
    <w:rsid w:val="00785CCD"/>
    <w:rsid w:val="00785ECB"/>
    <w:rsid w:val="00791FF2"/>
    <w:rsid w:val="00793262"/>
    <w:rsid w:val="00794955"/>
    <w:rsid w:val="0079756A"/>
    <w:rsid w:val="00797FAE"/>
    <w:rsid w:val="007A0AE8"/>
    <w:rsid w:val="007A10CA"/>
    <w:rsid w:val="007A199F"/>
    <w:rsid w:val="007A1A74"/>
    <w:rsid w:val="007A24BF"/>
    <w:rsid w:val="007A5455"/>
    <w:rsid w:val="007A65B0"/>
    <w:rsid w:val="007A69F4"/>
    <w:rsid w:val="007B0090"/>
    <w:rsid w:val="007B1815"/>
    <w:rsid w:val="007B317E"/>
    <w:rsid w:val="007B5281"/>
    <w:rsid w:val="007B531C"/>
    <w:rsid w:val="007B782D"/>
    <w:rsid w:val="007C1EC0"/>
    <w:rsid w:val="007C227A"/>
    <w:rsid w:val="007C2734"/>
    <w:rsid w:val="007C301A"/>
    <w:rsid w:val="007C3144"/>
    <w:rsid w:val="007C39E3"/>
    <w:rsid w:val="007C40BD"/>
    <w:rsid w:val="007C6E70"/>
    <w:rsid w:val="007C7B32"/>
    <w:rsid w:val="007C7D68"/>
    <w:rsid w:val="007D0675"/>
    <w:rsid w:val="007D0B2B"/>
    <w:rsid w:val="007D635D"/>
    <w:rsid w:val="007E0132"/>
    <w:rsid w:val="007E0AC8"/>
    <w:rsid w:val="007E1337"/>
    <w:rsid w:val="007E2CBA"/>
    <w:rsid w:val="007E4A01"/>
    <w:rsid w:val="007E589E"/>
    <w:rsid w:val="007E5F36"/>
    <w:rsid w:val="007F2090"/>
    <w:rsid w:val="007F22FD"/>
    <w:rsid w:val="007F4D36"/>
    <w:rsid w:val="007F5819"/>
    <w:rsid w:val="00800E30"/>
    <w:rsid w:val="00801713"/>
    <w:rsid w:val="008018EA"/>
    <w:rsid w:val="00802E25"/>
    <w:rsid w:val="0080469C"/>
    <w:rsid w:val="00804CEA"/>
    <w:rsid w:val="008065A3"/>
    <w:rsid w:val="00807F30"/>
    <w:rsid w:val="00810F5A"/>
    <w:rsid w:val="00817FEA"/>
    <w:rsid w:val="00822224"/>
    <w:rsid w:val="00822715"/>
    <w:rsid w:val="00822C01"/>
    <w:rsid w:val="00823316"/>
    <w:rsid w:val="00823D07"/>
    <w:rsid w:val="0082447F"/>
    <w:rsid w:val="00824943"/>
    <w:rsid w:val="0082614F"/>
    <w:rsid w:val="00831E1F"/>
    <w:rsid w:val="00834248"/>
    <w:rsid w:val="00834608"/>
    <w:rsid w:val="00835B0C"/>
    <w:rsid w:val="008363C0"/>
    <w:rsid w:val="00837E97"/>
    <w:rsid w:val="00840E01"/>
    <w:rsid w:val="0084172A"/>
    <w:rsid w:val="008435F2"/>
    <w:rsid w:val="00845688"/>
    <w:rsid w:val="00845BCF"/>
    <w:rsid w:val="008524B0"/>
    <w:rsid w:val="00854788"/>
    <w:rsid w:val="0085646E"/>
    <w:rsid w:val="008570C7"/>
    <w:rsid w:val="0085739A"/>
    <w:rsid w:val="00860A3A"/>
    <w:rsid w:val="00861033"/>
    <w:rsid w:val="00863E8F"/>
    <w:rsid w:val="00865F2D"/>
    <w:rsid w:val="0086654E"/>
    <w:rsid w:val="00866E5F"/>
    <w:rsid w:val="00871DA9"/>
    <w:rsid w:val="008720E0"/>
    <w:rsid w:val="00872723"/>
    <w:rsid w:val="008728F6"/>
    <w:rsid w:val="00872B0A"/>
    <w:rsid w:val="00873D45"/>
    <w:rsid w:val="00874029"/>
    <w:rsid w:val="008748B9"/>
    <w:rsid w:val="008769A6"/>
    <w:rsid w:val="00876CBE"/>
    <w:rsid w:val="00876FE3"/>
    <w:rsid w:val="00877CBD"/>
    <w:rsid w:val="00880E71"/>
    <w:rsid w:val="00881553"/>
    <w:rsid w:val="008823B2"/>
    <w:rsid w:val="00882F1C"/>
    <w:rsid w:val="00886085"/>
    <w:rsid w:val="008866BE"/>
    <w:rsid w:val="00887F00"/>
    <w:rsid w:val="00890DC7"/>
    <w:rsid w:val="0089129D"/>
    <w:rsid w:val="008922DD"/>
    <w:rsid w:val="008930A0"/>
    <w:rsid w:val="00893686"/>
    <w:rsid w:val="00893E9F"/>
    <w:rsid w:val="00893EDE"/>
    <w:rsid w:val="00894B61"/>
    <w:rsid w:val="00895E18"/>
    <w:rsid w:val="008966E6"/>
    <w:rsid w:val="00896869"/>
    <w:rsid w:val="008A085F"/>
    <w:rsid w:val="008A2901"/>
    <w:rsid w:val="008A2AFE"/>
    <w:rsid w:val="008A2E6E"/>
    <w:rsid w:val="008A2F91"/>
    <w:rsid w:val="008A3206"/>
    <w:rsid w:val="008A5A69"/>
    <w:rsid w:val="008A5FF3"/>
    <w:rsid w:val="008A6349"/>
    <w:rsid w:val="008A6D65"/>
    <w:rsid w:val="008A77A6"/>
    <w:rsid w:val="008A7E9C"/>
    <w:rsid w:val="008B0284"/>
    <w:rsid w:val="008B1BBA"/>
    <w:rsid w:val="008B2F30"/>
    <w:rsid w:val="008B7DB7"/>
    <w:rsid w:val="008C00EC"/>
    <w:rsid w:val="008C10DF"/>
    <w:rsid w:val="008C3075"/>
    <w:rsid w:val="008C3DCD"/>
    <w:rsid w:val="008C3DCE"/>
    <w:rsid w:val="008C4605"/>
    <w:rsid w:val="008C4CC4"/>
    <w:rsid w:val="008C6087"/>
    <w:rsid w:val="008C7B8F"/>
    <w:rsid w:val="008D27FC"/>
    <w:rsid w:val="008D2A1F"/>
    <w:rsid w:val="008D41FB"/>
    <w:rsid w:val="008D4D6D"/>
    <w:rsid w:val="008E0FCD"/>
    <w:rsid w:val="008E4996"/>
    <w:rsid w:val="008F045C"/>
    <w:rsid w:val="008F36BF"/>
    <w:rsid w:val="008F3A9C"/>
    <w:rsid w:val="008F7095"/>
    <w:rsid w:val="008F7527"/>
    <w:rsid w:val="008F75F7"/>
    <w:rsid w:val="008F7609"/>
    <w:rsid w:val="009001DA"/>
    <w:rsid w:val="00901101"/>
    <w:rsid w:val="00901612"/>
    <w:rsid w:val="00901B1E"/>
    <w:rsid w:val="009036E3"/>
    <w:rsid w:val="0090374F"/>
    <w:rsid w:val="0090456F"/>
    <w:rsid w:val="00911184"/>
    <w:rsid w:val="0091177A"/>
    <w:rsid w:val="00912DD1"/>
    <w:rsid w:val="00914D01"/>
    <w:rsid w:val="0091790F"/>
    <w:rsid w:val="00917BCC"/>
    <w:rsid w:val="00920516"/>
    <w:rsid w:val="00920BCC"/>
    <w:rsid w:val="00922260"/>
    <w:rsid w:val="009245B4"/>
    <w:rsid w:val="00925167"/>
    <w:rsid w:val="0092627A"/>
    <w:rsid w:val="00927DB3"/>
    <w:rsid w:val="00932EBB"/>
    <w:rsid w:val="00933467"/>
    <w:rsid w:val="00936A96"/>
    <w:rsid w:val="00936FB6"/>
    <w:rsid w:val="0094056B"/>
    <w:rsid w:val="00940893"/>
    <w:rsid w:val="00940E95"/>
    <w:rsid w:val="0094171A"/>
    <w:rsid w:val="00941F4E"/>
    <w:rsid w:val="00942183"/>
    <w:rsid w:val="00942540"/>
    <w:rsid w:val="009432A6"/>
    <w:rsid w:val="009440C9"/>
    <w:rsid w:val="00944AB9"/>
    <w:rsid w:val="009450E6"/>
    <w:rsid w:val="00946624"/>
    <w:rsid w:val="0094765E"/>
    <w:rsid w:val="009522E6"/>
    <w:rsid w:val="0095307C"/>
    <w:rsid w:val="00954D33"/>
    <w:rsid w:val="00955246"/>
    <w:rsid w:val="0096142E"/>
    <w:rsid w:val="00963029"/>
    <w:rsid w:val="00964F96"/>
    <w:rsid w:val="00965A1B"/>
    <w:rsid w:val="00967BD8"/>
    <w:rsid w:val="00971903"/>
    <w:rsid w:val="00973BE6"/>
    <w:rsid w:val="009773E0"/>
    <w:rsid w:val="00977B02"/>
    <w:rsid w:val="00977E1A"/>
    <w:rsid w:val="0098085A"/>
    <w:rsid w:val="0098177A"/>
    <w:rsid w:val="00982CFB"/>
    <w:rsid w:val="0098791E"/>
    <w:rsid w:val="0099022E"/>
    <w:rsid w:val="0099145F"/>
    <w:rsid w:val="0099447B"/>
    <w:rsid w:val="00994590"/>
    <w:rsid w:val="00995493"/>
    <w:rsid w:val="0099636D"/>
    <w:rsid w:val="009A0E95"/>
    <w:rsid w:val="009A19E9"/>
    <w:rsid w:val="009A2636"/>
    <w:rsid w:val="009A2F59"/>
    <w:rsid w:val="009A3A89"/>
    <w:rsid w:val="009A4292"/>
    <w:rsid w:val="009B0C9E"/>
    <w:rsid w:val="009B3D6E"/>
    <w:rsid w:val="009B43A7"/>
    <w:rsid w:val="009B5256"/>
    <w:rsid w:val="009B5322"/>
    <w:rsid w:val="009B54F0"/>
    <w:rsid w:val="009B55F8"/>
    <w:rsid w:val="009B613C"/>
    <w:rsid w:val="009B7895"/>
    <w:rsid w:val="009C0EA4"/>
    <w:rsid w:val="009C2805"/>
    <w:rsid w:val="009C3144"/>
    <w:rsid w:val="009C371B"/>
    <w:rsid w:val="009C4017"/>
    <w:rsid w:val="009C520A"/>
    <w:rsid w:val="009C603E"/>
    <w:rsid w:val="009C7351"/>
    <w:rsid w:val="009D10BB"/>
    <w:rsid w:val="009D1A3B"/>
    <w:rsid w:val="009D3A07"/>
    <w:rsid w:val="009D7937"/>
    <w:rsid w:val="009E091B"/>
    <w:rsid w:val="009E24F1"/>
    <w:rsid w:val="009E3F25"/>
    <w:rsid w:val="009E4716"/>
    <w:rsid w:val="009E568E"/>
    <w:rsid w:val="009E5E87"/>
    <w:rsid w:val="009E6E0D"/>
    <w:rsid w:val="009F0DA0"/>
    <w:rsid w:val="009F30D6"/>
    <w:rsid w:val="009F3151"/>
    <w:rsid w:val="009F5AA0"/>
    <w:rsid w:val="00A01994"/>
    <w:rsid w:val="00A0277B"/>
    <w:rsid w:val="00A03FFE"/>
    <w:rsid w:val="00A045A6"/>
    <w:rsid w:val="00A04FD2"/>
    <w:rsid w:val="00A0748C"/>
    <w:rsid w:val="00A07D16"/>
    <w:rsid w:val="00A108DB"/>
    <w:rsid w:val="00A10AF9"/>
    <w:rsid w:val="00A12E65"/>
    <w:rsid w:val="00A13B46"/>
    <w:rsid w:val="00A1757F"/>
    <w:rsid w:val="00A22388"/>
    <w:rsid w:val="00A22F6B"/>
    <w:rsid w:val="00A23068"/>
    <w:rsid w:val="00A24EEE"/>
    <w:rsid w:val="00A25240"/>
    <w:rsid w:val="00A253D8"/>
    <w:rsid w:val="00A25A3D"/>
    <w:rsid w:val="00A26015"/>
    <w:rsid w:val="00A27B3C"/>
    <w:rsid w:val="00A30632"/>
    <w:rsid w:val="00A30C72"/>
    <w:rsid w:val="00A317D0"/>
    <w:rsid w:val="00A31D5F"/>
    <w:rsid w:val="00A32FBC"/>
    <w:rsid w:val="00A33317"/>
    <w:rsid w:val="00A34334"/>
    <w:rsid w:val="00A3476D"/>
    <w:rsid w:val="00A3685D"/>
    <w:rsid w:val="00A369E2"/>
    <w:rsid w:val="00A408FD"/>
    <w:rsid w:val="00A42B51"/>
    <w:rsid w:val="00A43E73"/>
    <w:rsid w:val="00A473DA"/>
    <w:rsid w:val="00A5009E"/>
    <w:rsid w:val="00A50B6F"/>
    <w:rsid w:val="00A56E35"/>
    <w:rsid w:val="00A6103E"/>
    <w:rsid w:val="00A62EE0"/>
    <w:rsid w:val="00A634A8"/>
    <w:rsid w:val="00A65C31"/>
    <w:rsid w:val="00A66752"/>
    <w:rsid w:val="00A66C36"/>
    <w:rsid w:val="00A67383"/>
    <w:rsid w:val="00A6771F"/>
    <w:rsid w:val="00A67E50"/>
    <w:rsid w:val="00A67FF0"/>
    <w:rsid w:val="00A70FBC"/>
    <w:rsid w:val="00A71FAD"/>
    <w:rsid w:val="00A755BE"/>
    <w:rsid w:val="00A76441"/>
    <w:rsid w:val="00A76A4A"/>
    <w:rsid w:val="00A806BA"/>
    <w:rsid w:val="00A81BCC"/>
    <w:rsid w:val="00A8356A"/>
    <w:rsid w:val="00A8395A"/>
    <w:rsid w:val="00A83E4A"/>
    <w:rsid w:val="00A84B66"/>
    <w:rsid w:val="00A8504A"/>
    <w:rsid w:val="00A903CD"/>
    <w:rsid w:val="00A90B21"/>
    <w:rsid w:val="00A92287"/>
    <w:rsid w:val="00A93CA0"/>
    <w:rsid w:val="00A942B0"/>
    <w:rsid w:val="00A95608"/>
    <w:rsid w:val="00AA188C"/>
    <w:rsid w:val="00AA20B3"/>
    <w:rsid w:val="00AA2942"/>
    <w:rsid w:val="00AA2EB9"/>
    <w:rsid w:val="00AA678D"/>
    <w:rsid w:val="00AA6F36"/>
    <w:rsid w:val="00AB05EB"/>
    <w:rsid w:val="00AB07F4"/>
    <w:rsid w:val="00AB303B"/>
    <w:rsid w:val="00AB3A66"/>
    <w:rsid w:val="00AB4661"/>
    <w:rsid w:val="00AB46D6"/>
    <w:rsid w:val="00AB4BFE"/>
    <w:rsid w:val="00AB575B"/>
    <w:rsid w:val="00AB5D9A"/>
    <w:rsid w:val="00AB5E32"/>
    <w:rsid w:val="00AB614D"/>
    <w:rsid w:val="00AC04C6"/>
    <w:rsid w:val="00AC17ED"/>
    <w:rsid w:val="00AC21D0"/>
    <w:rsid w:val="00AC24AC"/>
    <w:rsid w:val="00AC2736"/>
    <w:rsid w:val="00AC362A"/>
    <w:rsid w:val="00AC3B4C"/>
    <w:rsid w:val="00AC5138"/>
    <w:rsid w:val="00AC5F63"/>
    <w:rsid w:val="00AC601B"/>
    <w:rsid w:val="00AC65C8"/>
    <w:rsid w:val="00AC79DB"/>
    <w:rsid w:val="00AD066C"/>
    <w:rsid w:val="00AD0FDA"/>
    <w:rsid w:val="00AD12E2"/>
    <w:rsid w:val="00AD21F7"/>
    <w:rsid w:val="00AD2891"/>
    <w:rsid w:val="00AD3860"/>
    <w:rsid w:val="00AD64DF"/>
    <w:rsid w:val="00AD7BB4"/>
    <w:rsid w:val="00AE051A"/>
    <w:rsid w:val="00AE496A"/>
    <w:rsid w:val="00AE6604"/>
    <w:rsid w:val="00AE7575"/>
    <w:rsid w:val="00AF1EAF"/>
    <w:rsid w:val="00AF349B"/>
    <w:rsid w:val="00AF38E6"/>
    <w:rsid w:val="00AF46C5"/>
    <w:rsid w:val="00AF4DAD"/>
    <w:rsid w:val="00AF51C9"/>
    <w:rsid w:val="00AF5907"/>
    <w:rsid w:val="00B001E7"/>
    <w:rsid w:val="00B02505"/>
    <w:rsid w:val="00B0471D"/>
    <w:rsid w:val="00B0529C"/>
    <w:rsid w:val="00B06610"/>
    <w:rsid w:val="00B07846"/>
    <w:rsid w:val="00B113C0"/>
    <w:rsid w:val="00B1146F"/>
    <w:rsid w:val="00B116EA"/>
    <w:rsid w:val="00B1263F"/>
    <w:rsid w:val="00B14C2A"/>
    <w:rsid w:val="00B21F93"/>
    <w:rsid w:val="00B23813"/>
    <w:rsid w:val="00B305D6"/>
    <w:rsid w:val="00B30B18"/>
    <w:rsid w:val="00B31A97"/>
    <w:rsid w:val="00B35FB0"/>
    <w:rsid w:val="00B42BF3"/>
    <w:rsid w:val="00B43886"/>
    <w:rsid w:val="00B43E8A"/>
    <w:rsid w:val="00B45EC5"/>
    <w:rsid w:val="00B462F9"/>
    <w:rsid w:val="00B46325"/>
    <w:rsid w:val="00B47B1F"/>
    <w:rsid w:val="00B511BF"/>
    <w:rsid w:val="00B51764"/>
    <w:rsid w:val="00B530B9"/>
    <w:rsid w:val="00B53480"/>
    <w:rsid w:val="00B5522C"/>
    <w:rsid w:val="00B55456"/>
    <w:rsid w:val="00B56E03"/>
    <w:rsid w:val="00B605F9"/>
    <w:rsid w:val="00B61F38"/>
    <w:rsid w:val="00B62673"/>
    <w:rsid w:val="00B63006"/>
    <w:rsid w:val="00B64017"/>
    <w:rsid w:val="00B67437"/>
    <w:rsid w:val="00B678CA"/>
    <w:rsid w:val="00B72505"/>
    <w:rsid w:val="00B73A2B"/>
    <w:rsid w:val="00B7410E"/>
    <w:rsid w:val="00B772BE"/>
    <w:rsid w:val="00B77C9C"/>
    <w:rsid w:val="00B82065"/>
    <w:rsid w:val="00B9025C"/>
    <w:rsid w:val="00B93B9C"/>
    <w:rsid w:val="00BA29D2"/>
    <w:rsid w:val="00BA2C9D"/>
    <w:rsid w:val="00BA4B9E"/>
    <w:rsid w:val="00BA73DD"/>
    <w:rsid w:val="00BA7F74"/>
    <w:rsid w:val="00BB021E"/>
    <w:rsid w:val="00BB1520"/>
    <w:rsid w:val="00BB160E"/>
    <w:rsid w:val="00BB280C"/>
    <w:rsid w:val="00BB5B4C"/>
    <w:rsid w:val="00BB643D"/>
    <w:rsid w:val="00BB6B85"/>
    <w:rsid w:val="00BB6FFE"/>
    <w:rsid w:val="00BB7BD1"/>
    <w:rsid w:val="00BB7F28"/>
    <w:rsid w:val="00BC0737"/>
    <w:rsid w:val="00BC10A8"/>
    <w:rsid w:val="00BD01DA"/>
    <w:rsid w:val="00BD0A43"/>
    <w:rsid w:val="00BD207A"/>
    <w:rsid w:val="00BD2A8B"/>
    <w:rsid w:val="00BD2FA1"/>
    <w:rsid w:val="00BD329E"/>
    <w:rsid w:val="00BD520D"/>
    <w:rsid w:val="00BD6E69"/>
    <w:rsid w:val="00BE0492"/>
    <w:rsid w:val="00BE0627"/>
    <w:rsid w:val="00BE25D9"/>
    <w:rsid w:val="00BE3497"/>
    <w:rsid w:val="00BE388F"/>
    <w:rsid w:val="00BE3F17"/>
    <w:rsid w:val="00BE57D2"/>
    <w:rsid w:val="00BE6684"/>
    <w:rsid w:val="00BE7336"/>
    <w:rsid w:val="00BF38F2"/>
    <w:rsid w:val="00BF399F"/>
    <w:rsid w:val="00BF643C"/>
    <w:rsid w:val="00C0169A"/>
    <w:rsid w:val="00C02BB5"/>
    <w:rsid w:val="00C03B82"/>
    <w:rsid w:val="00C03C74"/>
    <w:rsid w:val="00C03DD6"/>
    <w:rsid w:val="00C0524F"/>
    <w:rsid w:val="00C06724"/>
    <w:rsid w:val="00C1180F"/>
    <w:rsid w:val="00C139B7"/>
    <w:rsid w:val="00C139D3"/>
    <w:rsid w:val="00C14411"/>
    <w:rsid w:val="00C15EDB"/>
    <w:rsid w:val="00C162BE"/>
    <w:rsid w:val="00C1780D"/>
    <w:rsid w:val="00C2025A"/>
    <w:rsid w:val="00C20798"/>
    <w:rsid w:val="00C223F8"/>
    <w:rsid w:val="00C22E5A"/>
    <w:rsid w:val="00C238D0"/>
    <w:rsid w:val="00C24410"/>
    <w:rsid w:val="00C250EA"/>
    <w:rsid w:val="00C263EB"/>
    <w:rsid w:val="00C2767A"/>
    <w:rsid w:val="00C277DD"/>
    <w:rsid w:val="00C30B65"/>
    <w:rsid w:val="00C33684"/>
    <w:rsid w:val="00C34F2E"/>
    <w:rsid w:val="00C35062"/>
    <w:rsid w:val="00C355D5"/>
    <w:rsid w:val="00C418AA"/>
    <w:rsid w:val="00C425E5"/>
    <w:rsid w:val="00C43365"/>
    <w:rsid w:val="00C45685"/>
    <w:rsid w:val="00C45E3A"/>
    <w:rsid w:val="00C46F71"/>
    <w:rsid w:val="00C470FD"/>
    <w:rsid w:val="00C47529"/>
    <w:rsid w:val="00C47A57"/>
    <w:rsid w:val="00C47F4F"/>
    <w:rsid w:val="00C50EBA"/>
    <w:rsid w:val="00C51388"/>
    <w:rsid w:val="00C521ED"/>
    <w:rsid w:val="00C52D0F"/>
    <w:rsid w:val="00C5370C"/>
    <w:rsid w:val="00C53BBC"/>
    <w:rsid w:val="00C54955"/>
    <w:rsid w:val="00C54F01"/>
    <w:rsid w:val="00C5566A"/>
    <w:rsid w:val="00C556CF"/>
    <w:rsid w:val="00C5606A"/>
    <w:rsid w:val="00C568C1"/>
    <w:rsid w:val="00C608AC"/>
    <w:rsid w:val="00C63CA2"/>
    <w:rsid w:val="00C651A7"/>
    <w:rsid w:val="00C67458"/>
    <w:rsid w:val="00C70052"/>
    <w:rsid w:val="00C7091E"/>
    <w:rsid w:val="00C70C77"/>
    <w:rsid w:val="00C71AF2"/>
    <w:rsid w:val="00C72B0B"/>
    <w:rsid w:val="00C7323F"/>
    <w:rsid w:val="00C7364B"/>
    <w:rsid w:val="00C76B88"/>
    <w:rsid w:val="00C77146"/>
    <w:rsid w:val="00C80325"/>
    <w:rsid w:val="00C8139F"/>
    <w:rsid w:val="00C81CFA"/>
    <w:rsid w:val="00C82011"/>
    <w:rsid w:val="00C82F6D"/>
    <w:rsid w:val="00C834BE"/>
    <w:rsid w:val="00C841E7"/>
    <w:rsid w:val="00C84BB4"/>
    <w:rsid w:val="00C84D9C"/>
    <w:rsid w:val="00C84FB0"/>
    <w:rsid w:val="00C8513B"/>
    <w:rsid w:val="00C879BD"/>
    <w:rsid w:val="00C90692"/>
    <w:rsid w:val="00C90E36"/>
    <w:rsid w:val="00C92561"/>
    <w:rsid w:val="00C9269A"/>
    <w:rsid w:val="00C9315F"/>
    <w:rsid w:val="00C94E97"/>
    <w:rsid w:val="00C95FF2"/>
    <w:rsid w:val="00CA02F3"/>
    <w:rsid w:val="00CA1674"/>
    <w:rsid w:val="00CA3AAD"/>
    <w:rsid w:val="00CA4AAC"/>
    <w:rsid w:val="00CA57B9"/>
    <w:rsid w:val="00CA7279"/>
    <w:rsid w:val="00CA73D0"/>
    <w:rsid w:val="00CB1DF7"/>
    <w:rsid w:val="00CB440D"/>
    <w:rsid w:val="00CB5CE8"/>
    <w:rsid w:val="00CB709A"/>
    <w:rsid w:val="00CC0043"/>
    <w:rsid w:val="00CC0CB0"/>
    <w:rsid w:val="00CC168B"/>
    <w:rsid w:val="00CC19C1"/>
    <w:rsid w:val="00CC5E69"/>
    <w:rsid w:val="00CC6F94"/>
    <w:rsid w:val="00CD1CD5"/>
    <w:rsid w:val="00CD286C"/>
    <w:rsid w:val="00CD2B81"/>
    <w:rsid w:val="00CD2BC4"/>
    <w:rsid w:val="00CD31B6"/>
    <w:rsid w:val="00CD344D"/>
    <w:rsid w:val="00CD49B5"/>
    <w:rsid w:val="00CD6228"/>
    <w:rsid w:val="00CE031A"/>
    <w:rsid w:val="00CE11BE"/>
    <w:rsid w:val="00CF0A8B"/>
    <w:rsid w:val="00CF2BDE"/>
    <w:rsid w:val="00CF500A"/>
    <w:rsid w:val="00CF6EE7"/>
    <w:rsid w:val="00CF7371"/>
    <w:rsid w:val="00CF7FAC"/>
    <w:rsid w:val="00D01A2C"/>
    <w:rsid w:val="00D06B17"/>
    <w:rsid w:val="00D07F8C"/>
    <w:rsid w:val="00D11C4F"/>
    <w:rsid w:val="00D15896"/>
    <w:rsid w:val="00D16CC7"/>
    <w:rsid w:val="00D16DA0"/>
    <w:rsid w:val="00D17909"/>
    <w:rsid w:val="00D209E5"/>
    <w:rsid w:val="00D21143"/>
    <w:rsid w:val="00D21D28"/>
    <w:rsid w:val="00D259EE"/>
    <w:rsid w:val="00D30F41"/>
    <w:rsid w:val="00D311DE"/>
    <w:rsid w:val="00D318AB"/>
    <w:rsid w:val="00D33103"/>
    <w:rsid w:val="00D335A1"/>
    <w:rsid w:val="00D34DF0"/>
    <w:rsid w:val="00D36E01"/>
    <w:rsid w:val="00D404A9"/>
    <w:rsid w:val="00D43D37"/>
    <w:rsid w:val="00D446AA"/>
    <w:rsid w:val="00D460AF"/>
    <w:rsid w:val="00D46E0B"/>
    <w:rsid w:val="00D50A1A"/>
    <w:rsid w:val="00D525E1"/>
    <w:rsid w:val="00D5300F"/>
    <w:rsid w:val="00D53868"/>
    <w:rsid w:val="00D53DA3"/>
    <w:rsid w:val="00D55F10"/>
    <w:rsid w:val="00D55F42"/>
    <w:rsid w:val="00D56B71"/>
    <w:rsid w:val="00D60E65"/>
    <w:rsid w:val="00D611B4"/>
    <w:rsid w:val="00D612EC"/>
    <w:rsid w:val="00D6579C"/>
    <w:rsid w:val="00D66846"/>
    <w:rsid w:val="00D67170"/>
    <w:rsid w:val="00D67EFF"/>
    <w:rsid w:val="00D67FDB"/>
    <w:rsid w:val="00D70CE4"/>
    <w:rsid w:val="00D73647"/>
    <w:rsid w:val="00D73A07"/>
    <w:rsid w:val="00D744B4"/>
    <w:rsid w:val="00D74C1D"/>
    <w:rsid w:val="00D75A5B"/>
    <w:rsid w:val="00D80A48"/>
    <w:rsid w:val="00D8149C"/>
    <w:rsid w:val="00D85E59"/>
    <w:rsid w:val="00D874F4"/>
    <w:rsid w:val="00D87C03"/>
    <w:rsid w:val="00D92007"/>
    <w:rsid w:val="00D920FC"/>
    <w:rsid w:val="00D92165"/>
    <w:rsid w:val="00D9271F"/>
    <w:rsid w:val="00D9273A"/>
    <w:rsid w:val="00D934DF"/>
    <w:rsid w:val="00D937AB"/>
    <w:rsid w:val="00D94087"/>
    <w:rsid w:val="00D94438"/>
    <w:rsid w:val="00D95705"/>
    <w:rsid w:val="00D9593A"/>
    <w:rsid w:val="00D95B47"/>
    <w:rsid w:val="00D97192"/>
    <w:rsid w:val="00D9772F"/>
    <w:rsid w:val="00DA0E63"/>
    <w:rsid w:val="00DA5752"/>
    <w:rsid w:val="00DA6E87"/>
    <w:rsid w:val="00DB06A1"/>
    <w:rsid w:val="00DB2BE4"/>
    <w:rsid w:val="00DB51A0"/>
    <w:rsid w:val="00DB54F2"/>
    <w:rsid w:val="00DB562B"/>
    <w:rsid w:val="00DB7B4B"/>
    <w:rsid w:val="00DC0628"/>
    <w:rsid w:val="00DC1234"/>
    <w:rsid w:val="00DC2C82"/>
    <w:rsid w:val="00DC4091"/>
    <w:rsid w:val="00DC5AE6"/>
    <w:rsid w:val="00DC5F6D"/>
    <w:rsid w:val="00DC5FC2"/>
    <w:rsid w:val="00DC65F3"/>
    <w:rsid w:val="00DC6BB6"/>
    <w:rsid w:val="00DD06B7"/>
    <w:rsid w:val="00DD08AA"/>
    <w:rsid w:val="00DD0E5C"/>
    <w:rsid w:val="00DD1EAA"/>
    <w:rsid w:val="00DD30F9"/>
    <w:rsid w:val="00DD3FCC"/>
    <w:rsid w:val="00DD408F"/>
    <w:rsid w:val="00DD4233"/>
    <w:rsid w:val="00DD64C6"/>
    <w:rsid w:val="00DD6B64"/>
    <w:rsid w:val="00DE21CE"/>
    <w:rsid w:val="00DE289A"/>
    <w:rsid w:val="00DE49FF"/>
    <w:rsid w:val="00DE6658"/>
    <w:rsid w:val="00DE7390"/>
    <w:rsid w:val="00DF2EC1"/>
    <w:rsid w:val="00DF472A"/>
    <w:rsid w:val="00DF4BF6"/>
    <w:rsid w:val="00DF6457"/>
    <w:rsid w:val="00DF7728"/>
    <w:rsid w:val="00DF7EA5"/>
    <w:rsid w:val="00E000EF"/>
    <w:rsid w:val="00E030FF"/>
    <w:rsid w:val="00E03800"/>
    <w:rsid w:val="00E04F03"/>
    <w:rsid w:val="00E05C04"/>
    <w:rsid w:val="00E1151D"/>
    <w:rsid w:val="00E11DF3"/>
    <w:rsid w:val="00E11EB2"/>
    <w:rsid w:val="00E14DD7"/>
    <w:rsid w:val="00E14E8C"/>
    <w:rsid w:val="00E15367"/>
    <w:rsid w:val="00E1764A"/>
    <w:rsid w:val="00E17653"/>
    <w:rsid w:val="00E20854"/>
    <w:rsid w:val="00E22A7C"/>
    <w:rsid w:val="00E25DE2"/>
    <w:rsid w:val="00E267A6"/>
    <w:rsid w:val="00E31B58"/>
    <w:rsid w:val="00E34475"/>
    <w:rsid w:val="00E3587C"/>
    <w:rsid w:val="00E35BAD"/>
    <w:rsid w:val="00E3618D"/>
    <w:rsid w:val="00E36C20"/>
    <w:rsid w:val="00E37B8B"/>
    <w:rsid w:val="00E40A51"/>
    <w:rsid w:val="00E422C0"/>
    <w:rsid w:val="00E42DB1"/>
    <w:rsid w:val="00E448A5"/>
    <w:rsid w:val="00E46C72"/>
    <w:rsid w:val="00E50751"/>
    <w:rsid w:val="00E51D78"/>
    <w:rsid w:val="00E52081"/>
    <w:rsid w:val="00E55500"/>
    <w:rsid w:val="00E565A1"/>
    <w:rsid w:val="00E56BF1"/>
    <w:rsid w:val="00E56E01"/>
    <w:rsid w:val="00E5711F"/>
    <w:rsid w:val="00E57FBE"/>
    <w:rsid w:val="00E600C1"/>
    <w:rsid w:val="00E63EB3"/>
    <w:rsid w:val="00E6489A"/>
    <w:rsid w:val="00E656B6"/>
    <w:rsid w:val="00E66375"/>
    <w:rsid w:val="00E67487"/>
    <w:rsid w:val="00E6789A"/>
    <w:rsid w:val="00E67B39"/>
    <w:rsid w:val="00E71E9B"/>
    <w:rsid w:val="00E71F8B"/>
    <w:rsid w:val="00E72A22"/>
    <w:rsid w:val="00E76118"/>
    <w:rsid w:val="00E77BD1"/>
    <w:rsid w:val="00E80B9C"/>
    <w:rsid w:val="00E8121D"/>
    <w:rsid w:val="00E81C4E"/>
    <w:rsid w:val="00E84EE8"/>
    <w:rsid w:val="00E851A8"/>
    <w:rsid w:val="00E86772"/>
    <w:rsid w:val="00E87CCD"/>
    <w:rsid w:val="00E93557"/>
    <w:rsid w:val="00E93CEF"/>
    <w:rsid w:val="00E943EF"/>
    <w:rsid w:val="00E966C7"/>
    <w:rsid w:val="00E97E51"/>
    <w:rsid w:val="00EA09FC"/>
    <w:rsid w:val="00EA0B78"/>
    <w:rsid w:val="00EA3DC3"/>
    <w:rsid w:val="00EA7111"/>
    <w:rsid w:val="00EA7C10"/>
    <w:rsid w:val="00EB1BA4"/>
    <w:rsid w:val="00EB1D38"/>
    <w:rsid w:val="00EB4808"/>
    <w:rsid w:val="00EB499A"/>
    <w:rsid w:val="00EB5E8A"/>
    <w:rsid w:val="00EB6413"/>
    <w:rsid w:val="00EC1CD5"/>
    <w:rsid w:val="00EC1F57"/>
    <w:rsid w:val="00EC2B54"/>
    <w:rsid w:val="00EC3609"/>
    <w:rsid w:val="00EC64C5"/>
    <w:rsid w:val="00ED16C5"/>
    <w:rsid w:val="00ED1A41"/>
    <w:rsid w:val="00ED2E75"/>
    <w:rsid w:val="00ED44F5"/>
    <w:rsid w:val="00EE09E6"/>
    <w:rsid w:val="00EE1766"/>
    <w:rsid w:val="00EE1AB9"/>
    <w:rsid w:val="00EE3D35"/>
    <w:rsid w:val="00EE4688"/>
    <w:rsid w:val="00EE57CA"/>
    <w:rsid w:val="00EE7372"/>
    <w:rsid w:val="00EE7896"/>
    <w:rsid w:val="00EF0210"/>
    <w:rsid w:val="00EF0BEE"/>
    <w:rsid w:val="00EF18E1"/>
    <w:rsid w:val="00EF1A7C"/>
    <w:rsid w:val="00EF2230"/>
    <w:rsid w:val="00EF2B52"/>
    <w:rsid w:val="00EF37D5"/>
    <w:rsid w:val="00EF6746"/>
    <w:rsid w:val="00F03076"/>
    <w:rsid w:val="00F03A74"/>
    <w:rsid w:val="00F058E3"/>
    <w:rsid w:val="00F0799D"/>
    <w:rsid w:val="00F12886"/>
    <w:rsid w:val="00F14AAC"/>
    <w:rsid w:val="00F1580A"/>
    <w:rsid w:val="00F17043"/>
    <w:rsid w:val="00F17638"/>
    <w:rsid w:val="00F20BBF"/>
    <w:rsid w:val="00F21BB8"/>
    <w:rsid w:val="00F22411"/>
    <w:rsid w:val="00F227E6"/>
    <w:rsid w:val="00F234E2"/>
    <w:rsid w:val="00F25F48"/>
    <w:rsid w:val="00F26950"/>
    <w:rsid w:val="00F30D87"/>
    <w:rsid w:val="00F32086"/>
    <w:rsid w:val="00F35443"/>
    <w:rsid w:val="00F37329"/>
    <w:rsid w:val="00F37CDE"/>
    <w:rsid w:val="00F406D1"/>
    <w:rsid w:val="00F43D64"/>
    <w:rsid w:val="00F43E13"/>
    <w:rsid w:val="00F44F01"/>
    <w:rsid w:val="00F46808"/>
    <w:rsid w:val="00F47226"/>
    <w:rsid w:val="00F511C3"/>
    <w:rsid w:val="00F52199"/>
    <w:rsid w:val="00F5349C"/>
    <w:rsid w:val="00F55BC6"/>
    <w:rsid w:val="00F56AEB"/>
    <w:rsid w:val="00F57F0F"/>
    <w:rsid w:val="00F57F4A"/>
    <w:rsid w:val="00F63557"/>
    <w:rsid w:val="00F638FB"/>
    <w:rsid w:val="00F659D1"/>
    <w:rsid w:val="00F661FD"/>
    <w:rsid w:val="00F67123"/>
    <w:rsid w:val="00F6716C"/>
    <w:rsid w:val="00F71126"/>
    <w:rsid w:val="00F74511"/>
    <w:rsid w:val="00F77AAC"/>
    <w:rsid w:val="00F77B53"/>
    <w:rsid w:val="00F80202"/>
    <w:rsid w:val="00F81532"/>
    <w:rsid w:val="00F83E7F"/>
    <w:rsid w:val="00F90169"/>
    <w:rsid w:val="00F926EA"/>
    <w:rsid w:val="00F96732"/>
    <w:rsid w:val="00F96BC2"/>
    <w:rsid w:val="00FA15B2"/>
    <w:rsid w:val="00FA4B40"/>
    <w:rsid w:val="00FA5AB0"/>
    <w:rsid w:val="00FA67EC"/>
    <w:rsid w:val="00FB0A88"/>
    <w:rsid w:val="00FB2FF4"/>
    <w:rsid w:val="00FB3015"/>
    <w:rsid w:val="00FB3355"/>
    <w:rsid w:val="00FB4BB4"/>
    <w:rsid w:val="00FB7B2C"/>
    <w:rsid w:val="00FC0665"/>
    <w:rsid w:val="00FC330A"/>
    <w:rsid w:val="00FC33C1"/>
    <w:rsid w:val="00FC42B3"/>
    <w:rsid w:val="00FC69B9"/>
    <w:rsid w:val="00FC6D13"/>
    <w:rsid w:val="00FC7505"/>
    <w:rsid w:val="00FC7647"/>
    <w:rsid w:val="00FD010C"/>
    <w:rsid w:val="00FE0418"/>
    <w:rsid w:val="00FE0F1E"/>
    <w:rsid w:val="00FE0F6E"/>
    <w:rsid w:val="00FE2997"/>
    <w:rsid w:val="00FE495F"/>
    <w:rsid w:val="00FE4D4D"/>
    <w:rsid w:val="00FE4F32"/>
    <w:rsid w:val="00FE5825"/>
    <w:rsid w:val="00FE5EB2"/>
    <w:rsid w:val="00FE7B30"/>
    <w:rsid w:val="00FE7DFF"/>
    <w:rsid w:val="00FF0BA3"/>
    <w:rsid w:val="00FF13D5"/>
    <w:rsid w:val="00FF34B6"/>
    <w:rsid w:val="00FF363D"/>
    <w:rsid w:val="00FF446F"/>
    <w:rsid w:val="00FF4C11"/>
    <w:rsid w:val="00FF5E20"/>
  </w:rsids>
  <m:mathPr>
    <m:mathFont m:val="Wingdings 2"/>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448E"/>
    <w:rPr>
      <w:sz w:val="24"/>
      <w:szCs w:val="24"/>
    </w:rPr>
  </w:style>
  <w:style w:type="paragraph" w:styleId="Titolo3">
    <w:name w:val="heading 3"/>
    <w:basedOn w:val="Normale"/>
    <w:next w:val="Normale"/>
    <w:qFormat/>
    <w:rsid w:val="002F7DA7"/>
    <w:pPr>
      <w:keepNext/>
      <w:spacing w:before="240" w:after="60"/>
      <w:outlineLvl w:val="2"/>
    </w:pPr>
    <w:rPr>
      <w:rFonts w:ascii="Arial" w:hAnsi="Arial" w:cs="Arial"/>
      <w:b/>
      <w:bCs/>
      <w:sz w:val="26"/>
      <w:szCs w:val="26"/>
    </w:rPr>
  </w:style>
  <w:style w:type="paragraph" w:styleId="Titolo5">
    <w:name w:val="heading 5"/>
    <w:basedOn w:val="Default"/>
    <w:next w:val="Default"/>
    <w:qFormat/>
    <w:rsid w:val="00033FAB"/>
    <w:pPr>
      <w:spacing w:before="100" w:after="100"/>
      <w:outlineLvl w:val="4"/>
    </w:pPr>
    <w:rPr>
      <w:rFonts w:cs="Times New Roman"/>
      <w:color w:val="auto"/>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Default">
    <w:name w:val="Default"/>
    <w:rsid w:val="00033FAB"/>
    <w:pPr>
      <w:autoSpaceDE w:val="0"/>
      <w:autoSpaceDN w:val="0"/>
      <w:adjustRightInd w:val="0"/>
    </w:pPr>
    <w:rPr>
      <w:rFonts w:ascii="BPEAEL+TimesNewRoman,Bold" w:hAnsi="BPEAEL+TimesNewRoman,Bold" w:cs="BPEAEL+TimesNewRoman,Bold"/>
      <w:color w:val="000000"/>
      <w:sz w:val="24"/>
      <w:szCs w:val="24"/>
    </w:rPr>
  </w:style>
  <w:style w:type="paragraph" w:styleId="NormaleWeb">
    <w:name w:val="Normal (Web)"/>
    <w:basedOn w:val="Normale"/>
    <w:rsid w:val="002F7DA7"/>
    <w:pPr>
      <w:spacing w:before="100" w:beforeAutospacing="1" w:after="100" w:afterAutospacing="1"/>
    </w:pPr>
  </w:style>
  <w:style w:type="character" w:styleId="Enfasicorsivo">
    <w:name w:val="Emphasis"/>
    <w:qFormat/>
    <w:rsid w:val="0003626B"/>
    <w:rPr>
      <w:i/>
      <w:iCs/>
    </w:rPr>
  </w:style>
  <w:style w:type="paragraph" w:styleId="Pidipagina">
    <w:name w:val="footer"/>
    <w:basedOn w:val="Normale"/>
    <w:rsid w:val="00152A0B"/>
    <w:pPr>
      <w:tabs>
        <w:tab w:val="center" w:pos="4819"/>
        <w:tab w:val="right" w:pos="9638"/>
      </w:tabs>
    </w:pPr>
  </w:style>
  <w:style w:type="character" w:styleId="Numeropagina">
    <w:name w:val="page number"/>
    <w:basedOn w:val="Caratterepredefinitoparagrafo"/>
    <w:rsid w:val="00152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2F7DA7"/>
    <w:pPr>
      <w:keepNext/>
      <w:spacing w:before="240" w:after="60"/>
      <w:outlineLvl w:val="2"/>
    </w:pPr>
    <w:rPr>
      <w:rFonts w:ascii="Arial" w:hAnsi="Arial" w:cs="Arial"/>
      <w:b/>
      <w:bCs/>
      <w:sz w:val="26"/>
      <w:szCs w:val="26"/>
    </w:rPr>
  </w:style>
  <w:style w:type="paragraph" w:styleId="Titolo5">
    <w:name w:val="heading 5"/>
    <w:basedOn w:val="Default"/>
    <w:next w:val="Default"/>
    <w:qFormat/>
    <w:rsid w:val="00033FAB"/>
    <w:pPr>
      <w:spacing w:before="100" w:after="100"/>
      <w:outlineLvl w:val="4"/>
    </w:pPr>
    <w:rPr>
      <w:rFonts w:cs="Times New Roman"/>
      <w:color w:val="auto"/>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3FAB"/>
    <w:pPr>
      <w:autoSpaceDE w:val="0"/>
      <w:autoSpaceDN w:val="0"/>
      <w:adjustRightInd w:val="0"/>
    </w:pPr>
    <w:rPr>
      <w:rFonts w:ascii="BPEAEL+TimesNewRoman,Bold" w:hAnsi="BPEAEL+TimesNewRoman,Bold" w:cs="BPEAEL+TimesNewRoman,Bold"/>
      <w:color w:val="000000"/>
      <w:sz w:val="24"/>
      <w:szCs w:val="24"/>
    </w:rPr>
  </w:style>
  <w:style w:type="paragraph" w:styleId="NormaleWeb">
    <w:name w:val="Normal (Web)"/>
    <w:basedOn w:val="Normale"/>
    <w:rsid w:val="002F7DA7"/>
    <w:pPr>
      <w:spacing w:before="100" w:beforeAutospacing="1" w:after="100" w:afterAutospacing="1"/>
    </w:pPr>
  </w:style>
  <w:style w:type="character" w:styleId="Enfasicorsivo">
    <w:name w:val="Emphasis"/>
    <w:qFormat/>
    <w:rsid w:val="0003626B"/>
    <w:rPr>
      <w:i/>
      <w:iCs/>
    </w:rPr>
  </w:style>
  <w:style w:type="paragraph" w:styleId="Pidipagina">
    <w:name w:val="footer"/>
    <w:basedOn w:val="Normale"/>
    <w:rsid w:val="00152A0B"/>
    <w:pPr>
      <w:tabs>
        <w:tab w:val="center" w:pos="4819"/>
        <w:tab w:val="right" w:pos="9638"/>
      </w:tabs>
    </w:pPr>
  </w:style>
  <w:style w:type="character" w:styleId="Numeropagina">
    <w:name w:val="page number"/>
    <w:basedOn w:val="Caratterepredefinitoparagrafo"/>
    <w:rsid w:val="00152A0B"/>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2076</Words>
  <Characters>11838</Characters>
  <Application>Microsoft Macintosh Word</Application>
  <DocSecurity>0</DocSecurity>
  <Lines>98</Lines>
  <Paragraphs>23</Paragraphs>
  <ScaleCrop>false</ScaleCrop>
  <HeadingPairs>
    <vt:vector size="2" baseType="variant">
      <vt:variant>
        <vt:lpstr>Titolo</vt:lpstr>
      </vt:variant>
      <vt:variant>
        <vt:i4>1</vt:i4>
      </vt:variant>
    </vt:vector>
  </HeadingPairs>
  <TitlesOfParts>
    <vt:vector size="1" baseType="lpstr">
      <vt:lpstr>RELAZIONE</vt:lpstr>
    </vt:vector>
  </TitlesOfParts>
  <Company>Hewlett-Packard</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dc:title>
  <dc:subject/>
  <dc:creator>Lorenzo</dc:creator>
  <cp:keywords/>
  <dc:description/>
  <cp:lastModifiedBy>Annamaria Bianchi</cp:lastModifiedBy>
  <cp:revision>2</cp:revision>
  <dcterms:created xsi:type="dcterms:W3CDTF">2014-05-08T10:29:00Z</dcterms:created>
  <dcterms:modified xsi:type="dcterms:W3CDTF">2014-05-08T10:29:00Z</dcterms:modified>
</cp:coreProperties>
</file>