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DC" w:rsidRPr="002A20DC" w:rsidRDefault="002A20DC" w:rsidP="002A20DC">
      <w:pPr>
        <w:spacing w:afterLines="1"/>
        <w:rPr>
          <w:rFonts w:ascii="Times New Roman" w:hAnsi="Times New Roman" w:cs="Times New Roman"/>
          <w:b/>
          <w:sz w:val="32"/>
          <w:szCs w:val="20"/>
          <w:lang w:eastAsia="it-IT"/>
        </w:rPr>
      </w:pPr>
      <w:bookmarkStart w:id="0" w:name="_Toc380153707"/>
      <w:bookmarkStart w:id="1" w:name="_Toc379382423"/>
      <w:bookmarkStart w:id="2" w:name="_Toc379357826"/>
      <w:bookmarkStart w:id="3" w:name="SIINTERNET"/>
      <w:r w:rsidRPr="002A20DC">
        <w:rPr>
          <w:rFonts w:ascii="Times New Roman" w:hAnsi="Times New Roman"/>
          <w:b/>
          <w:sz w:val="32"/>
          <w:szCs w:val="38"/>
        </w:rPr>
        <w:t>Legge 27 dicembre 2013, n. 147</w:t>
      </w:r>
    </w:p>
    <w:p w:rsidR="008B7D97" w:rsidRPr="00F51FF7" w:rsidRDefault="008B7D97" w:rsidP="00D20854">
      <w:pPr>
        <w:spacing w:afterLines="1"/>
        <w:rPr>
          <w:rFonts w:ascii="Times New Roman" w:hAnsi="Times New Roman"/>
          <w:szCs w:val="38"/>
        </w:rPr>
      </w:pPr>
      <w:r w:rsidRPr="00F51FF7">
        <w:rPr>
          <w:rFonts w:ascii="Times New Roman" w:hAnsi="Times New Roman"/>
          <w:szCs w:val="38"/>
        </w:rPr>
        <w:t>http://www.gazzettaufficiale.it/eli/id/2013/12/27/13G00191/sg</w:t>
      </w:r>
    </w:p>
    <w:p w:rsidR="009536E3" w:rsidRPr="00F51FF7" w:rsidRDefault="009536E3" w:rsidP="00D20854">
      <w:pPr>
        <w:spacing w:afterLines="1"/>
        <w:rPr>
          <w:rFonts w:ascii="Times New Roman" w:hAnsi="Times New Roman" w:cs="Times New Roman"/>
          <w:szCs w:val="20"/>
          <w:lang w:eastAsia="it-IT"/>
        </w:rPr>
      </w:pPr>
    </w:p>
    <w:p w:rsidR="009536E3" w:rsidRPr="00F51FF7" w:rsidRDefault="009536E3" w:rsidP="00D20854">
      <w:pPr>
        <w:spacing w:afterLines="1"/>
        <w:rPr>
          <w:rFonts w:ascii="Times New Roman" w:hAnsi="Times New Roman" w:cs="Times New Roman"/>
          <w:szCs w:val="20"/>
          <w:lang w:eastAsia="it-IT"/>
        </w:rPr>
      </w:pPr>
      <w:r w:rsidRPr="002A20DC">
        <w:rPr>
          <w:rFonts w:ascii="Times New Roman" w:hAnsi="Times New Roman" w:cs="Times New Roman"/>
          <w:b/>
          <w:szCs w:val="20"/>
          <w:lang w:eastAsia="it-IT"/>
        </w:rPr>
        <w:t>Articolo 1, commi 304-305</w:t>
      </w:r>
      <w:r w:rsidRPr="002A20DC">
        <w:rPr>
          <w:rFonts w:ascii="Times New Roman" w:hAnsi="Times New Roman" w:cs="Times New Roman"/>
          <w:b/>
          <w:szCs w:val="20"/>
          <w:lang w:eastAsia="it-IT"/>
        </w:rPr>
        <w:br/>
      </w:r>
      <w:r w:rsidRPr="00F51FF7">
        <w:rPr>
          <w:rFonts w:ascii="Times New Roman" w:hAnsi="Times New Roman" w:cs="Times New Roman"/>
          <w:i/>
          <w:szCs w:val="20"/>
          <w:lang w:eastAsia="it-IT"/>
        </w:rPr>
        <w:t>(Finanziamento e p</w:t>
      </w:r>
      <w:r w:rsidR="002A20DC">
        <w:rPr>
          <w:rFonts w:ascii="Times New Roman" w:hAnsi="Times New Roman" w:cs="Times New Roman"/>
          <w:i/>
          <w:szCs w:val="20"/>
          <w:lang w:eastAsia="it-IT"/>
        </w:rPr>
        <w:t xml:space="preserve">rocedure per l’ammodernamento e </w:t>
      </w:r>
      <w:r w:rsidRPr="00F51FF7">
        <w:rPr>
          <w:rFonts w:ascii="Times New Roman" w:hAnsi="Times New Roman" w:cs="Times New Roman"/>
          <w:i/>
          <w:szCs w:val="20"/>
          <w:lang w:eastAsia="it-IT"/>
        </w:rPr>
        <w:t>la costruzione degli impianti sportivi)</w:t>
      </w:r>
      <w:bookmarkEnd w:id="0"/>
      <w:bookmarkEnd w:id="1"/>
      <w:bookmarkEnd w:id="2"/>
    </w:p>
    <w:p w:rsidR="00C270BA"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2A20DC">
        <w:rPr>
          <w:rFonts w:ascii="Times New Roman" w:hAnsi="Times New Roman" w:cs="Courier"/>
          <w:b/>
          <w:szCs w:val="20"/>
          <w:lang w:eastAsia="it-IT"/>
        </w:rPr>
        <w:t>304.</w:t>
      </w:r>
      <w:r w:rsidRPr="00F51FF7">
        <w:rPr>
          <w:rFonts w:ascii="Times New Roman" w:hAnsi="Times New Roman" w:cs="Courier"/>
          <w:szCs w:val="20"/>
          <w:lang w:eastAsia="it-IT"/>
        </w:rPr>
        <w:t xml:space="preserve"> Al fine di consentire, per gli impianti di cui alla lettera c) del presente comma, il piu' efficace utilizzo, in via non  esclusiva, delle risorse del Fondo di cui  al  comma  303,  come  integrate  dal medesimo comma, nonche' di favorire comunque  l'ammodernamento  o  la costruzione di  impianti  sportivi,  con  particolare  riguardo  alla sicurezza  degli  impianti  e   degli   spettatori,   attraverso   la semplificazione delle procedure amministrative  e  la  previsione  di modalita' innovative di finanziamento:     </w:t>
      </w:r>
    </w:p>
    <w:p w:rsidR="00C270BA"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 a) il soggetto che intende realizzare  l'intervento  presenta  al comune  interessato  uno  studio  di  fattibilita',  a  valere  quale progetto preliminare, redatto tenendo conto delle indicazioni di  cui all'articolo 14 del decreto del Presidente della Repubblica 5 ottobre 2010, n.  207</w:t>
      </w:r>
      <w:r w:rsidR="00703F29" w:rsidRPr="00F51FF7">
        <w:rPr>
          <w:rStyle w:val="Rimandonotaapidipagina"/>
          <w:rFonts w:ascii="Times New Roman" w:hAnsi="Times New Roman" w:cs="Courier"/>
          <w:szCs w:val="20"/>
          <w:lang w:eastAsia="it-IT"/>
        </w:rPr>
        <w:footnoteReference w:id="-1"/>
      </w:r>
      <w:r w:rsidRPr="00F51FF7">
        <w:rPr>
          <w:rFonts w:ascii="Times New Roman" w:hAnsi="Times New Roman" w:cs="Courier"/>
          <w:szCs w:val="20"/>
          <w:lang w:eastAsia="it-IT"/>
        </w:rPr>
        <w:t xml:space="preserve">,  e  corredato  di  un  piano  economico-finanziario  e dell'accordo  con  una  o  piu'  associazioni  o  societa'   sportive utilizzatrici in via prevalente. Lo studio di fattibilita'  non  puo' prevedere  altri  tipi  di  intervento,  salvo  quelli   strettamente funzionali alla fruibilita' dell'impianto  e  al  raggiungimento  del complessivo  equilibrio   economico-finanziario   dell'iniziativa   e concorrenti alla valorizzazione del territorio  in  termini  sociali, occupazionali  ed  economici  e   comunque   con   esclusione   della realizzazione di nuovi complessi di edilizia residenziale. </w:t>
      </w:r>
      <w:r w:rsidR="005E09EE" w:rsidRPr="00F51FF7">
        <w:rPr>
          <w:rFonts w:ascii="Times New Roman" w:hAnsi="Times New Roman" w:cs="Courier"/>
          <w:szCs w:val="20"/>
          <w:lang w:eastAsia="it-IT"/>
        </w:rPr>
        <w:t xml:space="preserve">5) </w:t>
      </w:r>
      <w:r w:rsidRPr="00F51FF7">
        <w:rPr>
          <w:rFonts w:ascii="Times New Roman" w:hAnsi="Times New Roman" w:cs="Courier"/>
          <w:szCs w:val="20"/>
          <w:lang w:eastAsia="it-IT"/>
        </w:rPr>
        <w:t xml:space="preserve">   </w:t>
      </w:r>
    </w:p>
    <w:p w:rsidR="00C270BA"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 b) sulla base  dell'approvazione  di  cui  alla  lettera  a),  il soggetto proponente presenta al comune  il  progetto  definitivo.  Il comune, previa conferenza  di  servizi  decisoria,  alla  quale  sono chiamati a partecipare tutti i soggetti  ordinariamente  titolari  di competenze in ordine al progetto presentato e che puo' richiedere  al proponente modifiche al progetto strettamente necessarie, delibera in via definitiva sul progetto;  la  procedura  deve  concludersi  entro centoventi giorni dalla presentazione del progetto. Ove  il  progetto comporti atti di competenza regionale, la conferenza  di  servizi  e' convocata dalla regione, che delibera entro centottanta giorni  dalla presentazione del progetto. Il provvedimento finale sostituisce  ogni autorizzazione  o  permesso  comunque  denominato   necessario   alla realizzazione dell'opera e determina  la  dichiarazione  di  pubblica utilita', indifferibilita' e urgenza dell'opera medesima;      </w:t>
      </w:r>
    </w:p>
    <w:p w:rsidR="00C270BA"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c) in caso di superamento dei termini di cui alle  lettere  a)  e b), relativamente agli impianti omologati per un numero di posti pari o superiore a 500 al coperto o a 2.000 allo scoperto,  il  Presidente del Consiglio dei  ministri,  su  istanza  del  soggetto  proponente, assegna  all'ente  interessato   trenta   giorni   per   adottare   i provvedimenti  necessari;  decorso  inutilmente  tale   termine,   il presidente della regione interessata nomina  un  commissario  con  il compito di adottare, entro il termine di sessanta giorni, sentito  il comune interessato, i  provvedimenti  necessari.  Relativamente  agli impianti omologati per un numero di posti pari o superiore a 4.000 al coperto e 20.000 allo scoperto, decorso infruttuosamente  l'ulteriore termine di trenta giorni concesso all'ente territoriale, il Consiglio dei ministri, al quale e' invitato a partecipare il presidente  della regione interessata, previo parere del Consiglio superiore dei lavori pubblici, da esprimere entro trenta giorni dalla  richiesta,  adotta, entro il termine di sessanta giorni, i provvedimenti necessari;     </w:t>
      </w:r>
    </w:p>
    <w:p w:rsidR="00C270BA"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 d) in caso di interventi da  realizzare  su  aree  di  proprieta' pubblica o su impianti pubblici esistenti, il progetto  approvato  e' fatto  oggetto  di  idonea  procedura  di   evidenza   pubblica,   da concludersi comunque entro novanta  giorni  dalla  sua  approvazione. Alla gara e' invitato anche il soggetto  proponente,  che  assume  la denominazione di promotore. Il  bando  specifica  che  il  promotore, nell'ipotesi in cui non risulti aggiudicatario,  puo'  esercitare  il diritto  di  prelazione  entro  quindici  giorni  dall'aggiudicazione definitiva e divenire  aggiudicatario  se  dichiara  di  assumere  la migliore offerta presentata. Si applicano, in quanto compatibili,  le previsioni del codice di cui al decreto legislativo 12  aprile  2006, n. 163, in materia di finanza di progetto.  Qualora  l'aggiudicatario sia diverso dal soggetto di cui alla lettera a),  primo  periodo,  il predetto aggiudicatario e' tenuto a subentrare nell'accordo  o  negli accordi di cui alla medesima lettera e periodo;      </w:t>
      </w:r>
    </w:p>
    <w:p w:rsidR="004A3225" w:rsidRPr="00F51FF7"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e) resta salvo il regime  di  maggiore  semplificazione  previsto dalla normativa vigente in  relazione  alla  tipologia  o  dimensione dello specifico intervento promosso.      </w:t>
      </w:r>
    </w:p>
    <w:p w:rsidR="00C03BA8" w:rsidRPr="00F51FF7"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7F12B2">
        <w:rPr>
          <w:rFonts w:ascii="Times New Roman" w:hAnsi="Times New Roman" w:cs="Courier"/>
          <w:b/>
          <w:szCs w:val="20"/>
          <w:lang w:eastAsia="it-IT"/>
        </w:rPr>
        <w:t>305.</w:t>
      </w:r>
      <w:r w:rsidRPr="00F51FF7">
        <w:rPr>
          <w:rFonts w:ascii="Times New Roman" w:hAnsi="Times New Roman" w:cs="Courier"/>
          <w:szCs w:val="20"/>
          <w:lang w:eastAsia="it-IT"/>
        </w:rPr>
        <w:t xml:space="preserve"> Gli interventi di cui al comma 304,  laddove  possibile,  sono realizzati prioritariamente mediante recupero di impianti esistenti o relativamente a impianti localizzati in aree gia' edificate.  </w:t>
      </w:r>
    </w:p>
    <w:p w:rsidR="00C03BA8" w:rsidRPr="00F51FF7" w:rsidRDefault="00C03BA8"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p>
    <w:p w:rsidR="004C7361" w:rsidRPr="00F51FF7" w:rsidRDefault="004C7361" w:rsidP="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lang w:eastAsia="it-IT"/>
        </w:rPr>
      </w:pPr>
      <w:r w:rsidRPr="00F51FF7">
        <w:rPr>
          <w:rFonts w:ascii="Times New Roman" w:hAnsi="Times New Roman" w:cs="Courier"/>
          <w:szCs w:val="20"/>
          <w:lang w:eastAsia="it-IT"/>
        </w:rPr>
        <w:t xml:space="preserve"> </w:t>
      </w:r>
    </w:p>
    <w:bookmarkEnd w:id="3"/>
    <w:p w:rsidR="009536E3" w:rsidRPr="00F51FF7" w:rsidRDefault="009536E3">
      <w:pPr>
        <w:rPr>
          <w:rFonts w:ascii="Times New Roman" w:hAnsi="Times New Roman"/>
        </w:rPr>
      </w:pPr>
    </w:p>
    <w:sectPr w:rsidR="009536E3" w:rsidRPr="00F51FF7" w:rsidSect="009536E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A20DC" w:rsidRDefault="002A20DC" w:rsidP="002A20DC">
      <w:pPr>
        <w:pStyle w:val="NormaleWeb"/>
        <w:spacing w:before="2" w:after="2"/>
        <w:jc w:val="center"/>
      </w:pPr>
      <w:r>
        <w:rPr>
          <w:rStyle w:val="Rimandonotaapidipagina"/>
        </w:rPr>
        <w:footnoteRef/>
      </w:r>
      <w:r>
        <w:t xml:space="preserve"> Art. 14 </w:t>
      </w:r>
      <w:r w:rsidRPr="004C7361">
        <w:rPr>
          <w:rFonts w:ascii="Courier" w:hAnsi="Courier" w:cs="Courier"/>
        </w:rPr>
        <w:t>decreto del Presidente della Repubblica 5 ottobre 2010, n.  207</w:t>
      </w:r>
      <w:r w:rsidRPr="00A478E7">
        <w:t xml:space="preserve"> </w:t>
      </w:r>
      <w:r w:rsidRPr="00424F33">
        <w:rPr>
          <w:rFonts w:ascii="Courier" w:hAnsi="Courier" w:cs="Courier"/>
        </w:rPr>
        <w:t>http://www.regolamentoappalti.it/</w:t>
      </w:r>
      <w:r w:rsidRPr="002A20DC">
        <w:rPr>
          <w:rFonts w:hAnsi="Symbol"/>
        </w:rPr>
        <w:t xml:space="preserve"> </w:t>
      </w:r>
      <w:r>
        <w:rPr>
          <w:rFonts w:hAnsi="Symbol"/>
        </w:rPr>
        <w:t></w:t>
      </w:r>
      <w:r>
        <w:t xml:space="preserve">  </w:t>
      </w:r>
      <w:r>
        <w:rPr>
          <w:b/>
        </w:rPr>
        <w:t xml:space="preserve">TITOLO II - PROGETTAZIONE E VERIFICA DEL PROGETTO </w:t>
      </w:r>
      <w:r>
        <w:br/>
        <w:t> </w:t>
      </w:r>
    </w:p>
    <w:p w:rsidR="002A20DC" w:rsidRDefault="002A20DC" w:rsidP="002A20DC">
      <w:pPr>
        <w:pStyle w:val="NormaleWeb"/>
        <w:spacing w:before="2" w:after="2"/>
        <w:jc w:val="center"/>
      </w:pPr>
      <w:r>
        <w:rPr>
          <w:rFonts w:hAnsi="Symbol"/>
        </w:rPr>
        <w:t></w:t>
      </w:r>
      <w:r>
        <w:t xml:space="preserve">  </w:t>
      </w:r>
      <w:r>
        <w:rPr>
          <w:b/>
        </w:rPr>
        <w:t xml:space="preserve">CAPO I - PROGETTAZIONE </w:t>
      </w:r>
      <w:r>
        <w:br/>
        <w:t> </w:t>
      </w:r>
    </w:p>
    <w:p w:rsidR="002A20DC" w:rsidRDefault="002A20DC" w:rsidP="002A20DC">
      <w:pPr>
        <w:pStyle w:val="NormaleWeb"/>
        <w:spacing w:before="2" w:after="2"/>
        <w:jc w:val="center"/>
      </w:pPr>
      <w:r>
        <w:rPr>
          <w:rFonts w:hAnsi="Symbol"/>
        </w:rPr>
        <w:t></w:t>
      </w:r>
      <w:r>
        <w:t xml:space="preserve">  </w:t>
      </w:r>
      <w:r>
        <w:rPr>
          <w:b/>
        </w:rPr>
        <w:t>SEZIONE I - DISPOSIZIONI GENERALI</w:t>
      </w:r>
      <w:r>
        <w:t xml:space="preserve"> </w:t>
      </w:r>
    </w:p>
    <w:p w:rsidR="002A20DC" w:rsidRDefault="002A20DC" w:rsidP="002A20DC">
      <w:pPr>
        <w:pStyle w:val="NormaleWeb"/>
        <w:spacing w:before="2" w:afterLines="0"/>
      </w:pPr>
      <w:r>
        <w:rPr>
          <w:rFonts w:hAnsi="Symbol"/>
        </w:rPr>
        <w:t></w:t>
      </w:r>
      <w:r>
        <w:t xml:space="preserve">  </w:t>
      </w:r>
      <w:r>
        <w:rPr>
          <w:b/>
          <w:color w:val="800000"/>
          <w:sz w:val="24"/>
          <w:szCs w:val="24"/>
        </w:rPr>
        <w:t>Art. 14 Studio di fattibilità</w:t>
      </w:r>
    </w:p>
    <w:p w:rsidR="002A20DC" w:rsidRDefault="002A20DC" w:rsidP="002A20DC">
      <w:pPr>
        <w:pStyle w:val="NormaleWeb"/>
        <w:numPr>
          <w:ilvl w:val="0"/>
          <w:numId w:val="1"/>
        </w:numPr>
        <w:spacing w:before="2" w:after="2"/>
        <w:rPr>
          <w:sz w:val="18"/>
          <w:szCs w:val="18"/>
        </w:rPr>
      </w:pPr>
      <w:r>
        <w:rPr>
          <w:sz w:val="18"/>
          <w:szCs w:val="18"/>
        </w:rPr>
        <w:t xml:space="preserve">1. Lo studio di fattibilità si compone di una relazione illustrativa contenente: </w:t>
      </w:r>
    </w:p>
    <w:p w:rsidR="002A20DC" w:rsidRDefault="002A20DC" w:rsidP="002A20DC">
      <w:pPr>
        <w:pStyle w:val="NormaleWeb"/>
        <w:numPr>
          <w:ilvl w:val="0"/>
          <w:numId w:val="1"/>
        </w:numPr>
        <w:spacing w:before="2" w:after="2"/>
        <w:rPr>
          <w:sz w:val="18"/>
          <w:szCs w:val="18"/>
        </w:rPr>
      </w:pPr>
      <w:r>
        <w:rPr>
          <w:sz w:val="18"/>
          <w:szCs w:val="18"/>
        </w:rPr>
        <w:t xml:space="preserve">a) le caratteristiche funzionali, tecniche, gestionali, economico-finanziarie dei lavori da realizzare; </w:t>
      </w:r>
    </w:p>
    <w:p w:rsidR="002A20DC" w:rsidRDefault="002A20DC" w:rsidP="002A20DC">
      <w:pPr>
        <w:pStyle w:val="NormaleWeb"/>
        <w:numPr>
          <w:ilvl w:val="0"/>
          <w:numId w:val="1"/>
        </w:numPr>
        <w:spacing w:before="2" w:after="2"/>
        <w:rPr>
          <w:sz w:val="18"/>
          <w:szCs w:val="18"/>
        </w:rPr>
      </w:pPr>
      <w:r>
        <w:rPr>
          <w:sz w:val="18"/>
          <w:szCs w:val="18"/>
        </w:rPr>
        <w:t xml:space="preserve">b) l’analisi delle possibili alternative rispetto alla soluzione realizzativa individuata; </w:t>
      </w:r>
    </w:p>
    <w:p w:rsidR="002A20DC" w:rsidRDefault="002A20DC" w:rsidP="002A20DC">
      <w:pPr>
        <w:pStyle w:val="NormaleWeb"/>
        <w:numPr>
          <w:ilvl w:val="0"/>
          <w:numId w:val="1"/>
        </w:numPr>
        <w:spacing w:before="2" w:after="2"/>
        <w:rPr>
          <w:sz w:val="18"/>
          <w:szCs w:val="18"/>
        </w:rPr>
      </w:pPr>
      <w:r>
        <w:rPr>
          <w:sz w:val="18"/>
          <w:szCs w:val="18"/>
        </w:rPr>
        <w:t xml:space="preserve">c) la verifica della possibilità di realizzazione mediante i contratti di partenariato pubblico privato di cui all’articolo 3, comma 15-ter, del codice; </w:t>
      </w:r>
    </w:p>
    <w:p w:rsidR="002A20DC" w:rsidRDefault="002A20DC" w:rsidP="002A20DC">
      <w:pPr>
        <w:pStyle w:val="NormaleWeb"/>
        <w:numPr>
          <w:ilvl w:val="0"/>
          <w:numId w:val="1"/>
        </w:numPr>
        <w:spacing w:before="2" w:after="2"/>
        <w:rPr>
          <w:sz w:val="18"/>
          <w:szCs w:val="18"/>
        </w:rPr>
      </w:pPr>
      <w:r>
        <w:rPr>
          <w:sz w:val="18"/>
          <w:szCs w:val="18"/>
        </w:rPr>
        <w:t xml:space="preserve">d) l’analisi dello stato di fatto, nelle sue eventuali componenti architettoniche, geologiche, socio-economiche, amministrative; </w:t>
      </w:r>
    </w:p>
    <w:p w:rsidR="002A20DC" w:rsidRDefault="002A20DC" w:rsidP="002A20DC">
      <w:pPr>
        <w:pStyle w:val="NormaleWeb"/>
        <w:numPr>
          <w:ilvl w:val="0"/>
          <w:numId w:val="1"/>
        </w:numPr>
        <w:spacing w:before="2" w:after="2"/>
        <w:rPr>
          <w:sz w:val="18"/>
          <w:szCs w:val="18"/>
        </w:rPr>
      </w:pPr>
      <w:r>
        <w:rPr>
          <w:sz w:val="18"/>
          <w:szCs w:val="18"/>
        </w:rPr>
        <w:t xml:space="preserve">e) la descrizione, ai fini della valutazione preventiva della sostenibilità ambientale e della compatibilità paesaggistica dell’intervento, dei requisiti dell’opera da progettare, delle caratteristiche e dei collegamenti con il contesto nel quale l’intervento si inserisce, con particolare riferimento alla verifica dei vincoli ambientali, storici, archeologici, paesaggistici interferenti sulle aree o sugli immobili interessati dall’intervento, nonché l’individuazione delle misure idonee a salvaguardare la tutela ambientale e i valori culturali e paesaggistici. </w:t>
      </w:r>
    </w:p>
    <w:p w:rsidR="002A20DC" w:rsidRDefault="002A20DC" w:rsidP="002A20DC">
      <w:pPr>
        <w:pStyle w:val="NormaleWeb"/>
        <w:numPr>
          <w:ilvl w:val="0"/>
          <w:numId w:val="1"/>
        </w:numPr>
        <w:spacing w:before="2" w:after="2"/>
        <w:rPr>
          <w:sz w:val="18"/>
          <w:szCs w:val="18"/>
        </w:rPr>
      </w:pPr>
      <w:r>
        <w:rPr>
          <w:sz w:val="18"/>
          <w:szCs w:val="18"/>
        </w:rPr>
        <w:t xml:space="preserve">2. Qualora lo studio di fattibilità è posto a base di gara, ai sensi degli articoli 58 e 153 del codice, si compone dei seguenti elaborati, salva diversa motivata determinazione del responsabile del procedimento, anche con riferimento alla loro articolazione, in rapporto alla specifica tipologia e alla dimensione dei lavori da realizzare: </w:t>
      </w:r>
    </w:p>
    <w:p w:rsidR="002A20DC" w:rsidRDefault="002A20DC" w:rsidP="002A20DC">
      <w:pPr>
        <w:pStyle w:val="NormaleWeb"/>
        <w:numPr>
          <w:ilvl w:val="0"/>
          <w:numId w:val="1"/>
        </w:numPr>
        <w:spacing w:before="2" w:after="2"/>
        <w:rPr>
          <w:sz w:val="18"/>
          <w:szCs w:val="18"/>
        </w:rPr>
      </w:pPr>
      <w:r>
        <w:rPr>
          <w:sz w:val="18"/>
          <w:szCs w:val="18"/>
        </w:rPr>
        <w:t xml:space="preserve">a) relazione illustrativa generale contenente: </w:t>
      </w:r>
    </w:p>
    <w:p w:rsidR="002A20DC" w:rsidRDefault="002A20DC" w:rsidP="002A20DC">
      <w:pPr>
        <w:pStyle w:val="NormaleWeb"/>
        <w:numPr>
          <w:ilvl w:val="0"/>
          <w:numId w:val="1"/>
        </w:numPr>
        <w:spacing w:before="2" w:after="2"/>
        <w:rPr>
          <w:sz w:val="18"/>
          <w:szCs w:val="18"/>
        </w:rPr>
      </w:pPr>
      <w:r>
        <w:rPr>
          <w:sz w:val="18"/>
          <w:szCs w:val="18"/>
        </w:rPr>
        <w:t xml:space="preserve">1. l’inquadramento territoriale e socio-economico dell’area oggetto dell’intervento: </w:t>
      </w:r>
    </w:p>
    <w:p w:rsidR="002A20DC" w:rsidRDefault="002A20DC" w:rsidP="002A20DC">
      <w:pPr>
        <w:pStyle w:val="NormaleWeb"/>
        <w:numPr>
          <w:ilvl w:val="0"/>
          <w:numId w:val="1"/>
        </w:numPr>
        <w:spacing w:before="2" w:after="2"/>
        <w:rPr>
          <w:sz w:val="18"/>
          <w:szCs w:val="18"/>
        </w:rPr>
      </w:pPr>
      <w:r>
        <w:rPr>
          <w:sz w:val="18"/>
          <w:szCs w:val="18"/>
        </w:rPr>
        <w:t xml:space="preserve">1.1. corografia, stralcio del piano regolatore generale comunale, verifica della compatibilità con gli strumenti urbanistici; </w:t>
      </w:r>
    </w:p>
    <w:p w:rsidR="002A20DC" w:rsidRDefault="002A20DC" w:rsidP="002A20DC">
      <w:pPr>
        <w:pStyle w:val="NormaleWeb"/>
        <w:numPr>
          <w:ilvl w:val="0"/>
          <w:numId w:val="1"/>
        </w:numPr>
        <w:spacing w:before="2" w:after="2"/>
        <w:rPr>
          <w:sz w:val="18"/>
          <w:szCs w:val="18"/>
        </w:rPr>
      </w:pPr>
      <w:r>
        <w:rPr>
          <w:sz w:val="18"/>
          <w:szCs w:val="18"/>
        </w:rPr>
        <w:t xml:space="preserve">1.2. analisi dell’impatto socio-economico con riferimento al contesto produttivo e commerciale esistenti; </w:t>
      </w:r>
    </w:p>
    <w:p w:rsidR="002A20DC" w:rsidRDefault="002A20DC" w:rsidP="002A20DC">
      <w:pPr>
        <w:pStyle w:val="NormaleWeb"/>
        <w:numPr>
          <w:ilvl w:val="0"/>
          <w:numId w:val="1"/>
        </w:numPr>
        <w:spacing w:before="2" w:after="2"/>
        <w:rPr>
          <w:sz w:val="18"/>
          <w:szCs w:val="18"/>
        </w:rPr>
      </w:pPr>
      <w:r>
        <w:rPr>
          <w:sz w:val="18"/>
          <w:szCs w:val="18"/>
        </w:rPr>
        <w:t xml:space="preserve">2. l’analisi della domanda e dell’offerta attuale e di previsione con riferimento: </w:t>
      </w:r>
    </w:p>
    <w:p w:rsidR="002A20DC" w:rsidRDefault="002A20DC" w:rsidP="002A20DC">
      <w:pPr>
        <w:pStyle w:val="NormaleWeb"/>
        <w:numPr>
          <w:ilvl w:val="0"/>
          <w:numId w:val="1"/>
        </w:numPr>
        <w:spacing w:before="2" w:after="2"/>
        <w:rPr>
          <w:sz w:val="18"/>
          <w:szCs w:val="18"/>
        </w:rPr>
      </w:pPr>
      <w:r>
        <w:rPr>
          <w:sz w:val="18"/>
          <w:szCs w:val="18"/>
        </w:rPr>
        <w:t xml:space="preserve">2.1. al bacino d’utenza; </w:t>
      </w:r>
    </w:p>
    <w:p w:rsidR="002A20DC" w:rsidRDefault="002A20DC" w:rsidP="002A20DC">
      <w:pPr>
        <w:pStyle w:val="NormaleWeb"/>
        <w:numPr>
          <w:ilvl w:val="0"/>
          <w:numId w:val="1"/>
        </w:numPr>
        <w:spacing w:before="2" w:after="2"/>
        <w:rPr>
          <w:sz w:val="18"/>
          <w:szCs w:val="18"/>
        </w:rPr>
      </w:pPr>
      <w:r>
        <w:rPr>
          <w:sz w:val="18"/>
          <w:szCs w:val="18"/>
        </w:rPr>
        <w:t xml:space="preserve">2.2. alla stima dei bisogni dell’utenza mediante utilizzo di parametri fisici riferiti alla specifica tipologia dell’intervento, quali i flussi di traffico e il numero di accessi; </w:t>
      </w:r>
    </w:p>
    <w:p w:rsidR="002A20DC" w:rsidRDefault="002A20DC" w:rsidP="002A20DC">
      <w:pPr>
        <w:pStyle w:val="NormaleWeb"/>
        <w:numPr>
          <w:ilvl w:val="0"/>
          <w:numId w:val="1"/>
        </w:numPr>
        <w:spacing w:before="2" w:after="2"/>
        <w:rPr>
          <w:sz w:val="18"/>
          <w:szCs w:val="18"/>
        </w:rPr>
      </w:pPr>
      <w:r>
        <w:rPr>
          <w:sz w:val="18"/>
          <w:szCs w:val="18"/>
        </w:rPr>
        <w:t xml:space="preserve">2.3. all’individuazione, in termini quantitativi e di gradimento, dell’offerta attuale e di quella prevista nei medesimi settori dell’intervento; </w:t>
      </w:r>
    </w:p>
    <w:p w:rsidR="002A20DC" w:rsidRDefault="002A20DC" w:rsidP="002A20DC">
      <w:pPr>
        <w:pStyle w:val="NormaleWeb"/>
        <w:numPr>
          <w:ilvl w:val="0"/>
          <w:numId w:val="1"/>
        </w:numPr>
        <w:spacing w:before="2" w:after="2"/>
        <w:rPr>
          <w:sz w:val="18"/>
          <w:szCs w:val="18"/>
        </w:rPr>
      </w:pPr>
      <w:r>
        <w:rPr>
          <w:sz w:val="18"/>
          <w:szCs w:val="18"/>
        </w:rPr>
        <w:t xml:space="preserve">3. l’analisi delle alternative progettuali: </w:t>
      </w:r>
    </w:p>
    <w:p w:rsidR="002A20DC" w:rsidRDefault="002A20DC" w:rsidP="002A20DC">
      <w:pPr>
        <w:pStyle w:val="NormaleWeb"/>
        <w:numPr>
          <w:ilvl w:val="0"/>
          <w:numId w:val="1"/>
        </w:numPr>
        <w:spacing w:before="2" w:after="2"/>
        <w:rPr>
          <w:sz w:val="18"/>
          <w:szCs w:val="18"/>
        </w:rPr>
      </w:pPr>
      <w:r>
        <w:rPr>
          <w:sz w:val="18"/>
          <w:szCs w:val="18"/>
        </w:rPr>
        <w:t xml:space="preserve">3.1. individuazione delle alternative progettuali dal punto di vista delle scelte tecnologiche, organizzative e finanziarie; </w:t>
      </w:r>
    </w:p>
    <w:p w:rsidR="002A20DC" w:rsidRDefault="002A20DC" w:rsidP="002A20DC">
      <w:pPr>
        <w:pStyle w:val="NormaleWeb"/>
        <w:numPr>
          <w:ilvl w:val="0"/>
          <w:numId w:val="1"/>
        </w:numPr>
        <w:spacing w:before="2" w:after="2"/>
        <w:rPr>
          <w:sz w:val="18"/>
          <w:szCs w:val="18"/>
        </w:rPr>
      </w:pPr>
      <w:r>
        <w:rPr>
          <w:sz w:val="18"/>
          <w:szCs w:val="18"/>
        </w:rPr>
        <w:t xml:space="preserve">3.2. matrice delle alternative progettuali; </w:t>
      </w:r>
    </w:p>
    <w:p w:rsidR="002A20DC" w:rsidRDefault="002A20DC" w:rsidP="002A20DC">
      <w:pPr>
        <w:pStyle w:val="NormaleWeb"/>
        <w:numPr>
          <w:ilvl w:val="0"/>
          <w:numId w:val="1"/>
        </w:numPr>
        <w:spacing w:before="2" w:after="2"/>
        <w:rPr>
          <w:sz w:val="18"/>
          <w:szCs w:val="18"/>
        </w:rPr>
      </w:pPr>
      <w:r>
        <w:rPr>
          <w:sz w:val="18"/>
          <w:szCs w:val="18"/>
        </w:rPr>
        <w:t xml:space="preserve">4. lo studio dell’impatto ambientale riferito alla soluzione progettuale individuata e alle possibili soluzioni alternative: </w:t>
      </w:r>
    </w:p>
    <w:p w:rsidR="002A20DC" w:rsidRDefault="002A20DC" w:rsidP="002A20DC">
      <w:pPr>
        <w:pStyle w:val="NormaleWeb"/>
        <w:numPr>
          <w:ilvl w:val="0"/>
          <w:numId w:val="1"/>
        </w:numPr>
        <w:spacing w:before="2" w:after="2"/>
        <w:rPr>
          <w:sz w:val="18"/>
          <w:szCs w:val="18"/>
        </w:rPr>
      </w:pPr>
      <w:r>
        <w:rPr>
          <w:sz w:val="18"/>
          <w:szCs w:val="18"/>
        </w:rPr>
        <w:t xml:space="preserve">4.1. analisi sommaria degli aspetti geologici, geotecnici, idraulici, idrogeologici, desunti dalle cartografie disponibili o da interventi già realizzati ricadenti nella zona; </w:t>
      </w:r>
    </w:p>
    <w:p w:rsidR="002A20DC" w:rsidRDefault="002A20DC" w:rsidP="002A20DC">
      <w:pPr>
        <w:pStyle w:val="NormaleWeb"/>
        <w:numPr>
          <w:ilvl w:val="0"/>
          <w:numId w:val="1"/>
        </w:numPr>
        <w:spacing w:before="2" w:after="2"/>
        <w:rPr>
          <w:sz w:val="18"/>
          <w:szCs w:val="18"/>
        </w:rPr>
      </w:pPr>
      <w:r>
        <w:rPr>
          <w:sz w:val="18"/>
          <w:szCs w:val="18"/>
        </w:rPr>
        <w:t xml:space="preserve">4.2. verifica dei vincoli ambientali, storici, archeologici, paesaggistici interferenti sulle aree o sugli immobili interessati dall’intervento; </w:t>
      </w:r>
    </w:p>
    <w:p w:rsidR="002A20DC" w:rsidRDefault="002A20DC" w:rsidP="002A20DC">
      <w:pPr>
        <w:pStyle w:val="NormaleWeb"/>
        <w:numPr>
          <w:ilvl w:val="0"/>
          <w:numId w:val="1"/>
        </w:numPr>
        <w:spacing w:before="2" w:after="2"/>
        <w:rPr>
          <w:sz w:val="18"/>
          <w:szCs w:val="18"/>
        </w:rPr>
      </w:pPr>
      <w:r>
        <w:rPr>
          <w:sz w:val="18"/>
          <w:szCs w:val="18"/>
        </w:rPr>
        <w:t xml:space="preserve">b) relazione tecnica contenente: </w:t>
      </w:r>
    </w:p>
    <w:p w:rsidR="002A20DC" w:rsidRDefault="002A20DC" w:rsidP="002A20DC">
      <w:pPr>
        <w:pStyle w:val="NormaleWeb"/>
        <w:numPr>
          <w:ilvl w:val="0"/>
          <w:numId w:val="1"/>
        </w:numPr>
        <w:spacing w:before="2" w:after="2"/>
        <w:rPr>
          <w:sz w:val="18"/>
          <w:szCs w:val="18"/>
        </w:rPr>
      </w:pPr>
      <w:r>
        <w:rPr>
          <w:sz w:val="18"/>
          <w:szCs w:val="18"/>
        </w:rPr>
        <w:t xml:space="preserve">1. le caratteristiche funzionali e tecniche dei lavori da realizzare; </w:t>
      </w:r>
    </w:p>
    <w:p w:rsidR="002A20DC" w:rsidRDefault="002A20DC" w:rsidP="002A20DC">
      <w:pPr>
        <w:pStyle w:val="NormaleWeb"/>
        <w:numPr>
          <w:ilvl w:val="0"/>
          <w:numId w:val="1"/>
        </w:numPr>
        <w:spacing w:before="2" w:after="2"/>
        <w:rPr>
          <w:sz w:val="18"/>
          <w:szCs w:val="18"/>
        </w:rPr>
      </w:pPr>
      <w:r>
        <w:rPr>
          <w:sz w:val="18"/>
          <w:szCs w:val="18"/>
        </w:rPr>
        <w:t xml:space="preserve">2. descrizione, ai fini della valutazione preventiva della sostenibilità ambientale e della compatibilità paesaggistica dell’intervento, dei requisiti dell’opera da progettare, delle caratteristiche e dei collegamenti con il contesto nel quale l’intervento si inserisce nonché delle misure idonee a salvaguardare la tutela ambientale i valori culturali e paesaggistici; </w:t>
      </w:r>
    </w:p>
    <w:p w:rsidR="002A20DC" w:rsidRDefault="002A20DC" w:rsidP="002A20DC">
      <w:pPr>
        <w:pStyle w:val="NormaleWeb"/>
        <w:numPr>
          <w:ilvl w:val="0"/>
          <w:numId w:val="1"/>
        </w:numPr>
        <w:spacing w:before="2" w:after="2"/>
        <w:rPr>
          <w:sz w:val="18"/>
          <w:szCs w:val="18"/>
        </w:rPr>
      </w:pPr>
      <w:r>
        <w:rPr>
          <w:sz w:val="18"/>
          <w:szCs w:val="18"/>
        </w:rPr>
        <w:t xml:space="preserve">3. analisi sommaria delle tecniche costruttive e indicazione delle norme tecniche da applicare; </w:t>
      </w:r>
    </w:p>
    <w:p w:rsidR="002A20DC" w:rsidRDefault="002A20DC" w:rsidP="002A20DC">
      <w:pPr>
        <w:pStyle w:val="NormaleWeb"/>
        <w:numPr>
          <w:ilvl w:val="0"/>
          <w:numId w:val="1"/>
        </w:numPr>
        <w:spacing w:before="2" w:after="2"/>
        <w:rPr>
          <w:sz w:val="18"/>
          <w:szCs w:val="18"/>
        </w:rPr>
      </w:pPr>
      <w:r>
        <w:rPr>
          <w:sz w:val="18"/>
          <w:szCs w:val="18"/>
        </w:rPr>
        <w:t xml:space="preserve">4. cronoprogramma; </w:t>
      </w:r>
    </w:p>
    <w:p w:rsidR="002A20DC" w:rsidRDefault="002A20DC" w:rsidP="002A20DC">
      <w:pPr>
        <w:pStyle w:val="NormaleWeb"/>
        <w:numPr>
          <w:ilvl w:val="0"/>
          <w:numId w:val="1"/>
        </w:numPr>
        <w:spacing w:before="2" w:after="2"/>
        <w:rPr>
          <w:sz w:val="18"/>
          <w:szCs w:val="18"/>
        </w:rPr>
      </w:pPr>
      <w:r>
        <w:rPr>
          <w:sz w:val="18"/>
          <w:szCs w:val="18"/>
        </w:rPr>
        <w:t xml:space="preserve">stima sommaria dell’intervento secondo le modalità di cui all’articolo 22, comma 1, con l’individuazione delle categorie di cui all’allegato A e dei relativi importi, determinati mediante l’applicazione delle quote di incidenza delle corrispondenti lavorazioni rispetto al costo complessivo; </w:t>
      </w:r>
    </w:p>
    <w:p w:rsidR="002A20DC" w:rsidRDefault="002A20DC" w:rsidP="002A20DC">
      <w:pPr>
        <w:pStyle w:val="NormaleWeb"/>
        <w:numPr>
          <w:ilvl w:val="0"/>
          <w:numId w:val="1"/>
        </w:numPr>
        <w:spacing w:before="2" w:after="2"/>
        <w:rPr>
          <w:sz w:val="18"/>
          <w:szCs w:val="18"/>
        </w:rPr>
      </w:pPr>
      <w:r>
        <w:rPr>
          <w:sz w:val="18"/>
          <w:szCs w:val="18"/>
        </w:rPr>
        <w:t xml:space="preserve">c) elaborati progettuali stabiliti dal responsabile del procedimento tra quelli previsti dall’articolo 21; </w:t>
      </w:r>
    </w:p>
    <w:p w:rsidR="002A20DC" w:rsidRDefault="002A20DC" w:rsidP="002A20DC">
      <w:pPr>
        <w:pStyle w:val="NormaleWeb"/>
        <w:numPr>
          <w:ilvl w:val="0"/>
          <w:numId w:val="1"/>
        </w:numPr>
        <w:spacing w:before="2" w:after="2"/>
        <w:rPr>
          <w:sz w:val="18"/>
          <w:szCs w:val="18"/>
        </w:rPr>
      </w:pPr>
      <w:r>
        <w:rPr>
          <w:sz w:val="18"/>
          <w:szCs w:val="18"/>
        </w:rPr>
        <w:t xml:space="preserve">d) elaborato tecnico-economico contenente: </w:t>
      </w:r>
    </w:p>
    <w:p w:rsidR="002A20DC" w:rsidRDefault="002A20DC" w:rsidP="002A20DC">
      <w:pPr>
        <w:pStyle w:val="NormaleWeb"/>
        <w:numPr>
          <w:ilvl w:val="0"/>
          <w:numId w:val="1"/>
        </w:numPr>
        <w:spacing w:before="2" w:after="2"/>
        <w:rPr>
          <w:sz w:val="18"/>
          <w:szCs w:val="18"/>
        </w:rPr>
      </w:pPr>
      <w:r>
        <w:rPr>
          <w:sz w:val="18"/>
          <w:szCs w:val="18"/>
        </w:rPr>
        <w:t xml:space="preserve">1. la verifica della possibilità di realizzazione mediante concessione rispetto all’appalto; </w:t>
      </w:r>
    </w:p>
    <w:p w:rsidR="002A20DC" w:rsidRDefault="002A20DC" w:rsidP="002A20DC">
      <w:pPr>
        <w:pStyle w:val="NormaleWeb"/>
        <w:numPr>
          <w:ilvl w:val="0"/>
          <w:numId w:val="1"/>
        </w:numPr>
        <w:spacing w:before="2" w:after="2"/>
        <w:rPr>
          <w:sz w:val="18"/>
          <w:szCs w:val="18"/>
        </w:rPr>
      </w:pPr>
      <w:r>
        <w:rPr>
          <w:sz w:val="18"/>
          <w:szCs w:val="18"/>
        </w:rPr>
        <w:t xml:space="preserve">analisi della fattibilità finanziaria (costi e ricavi) con riferimento alla fase di costruzione e, nel caso di concessione, alla fase di gestione; </w:t>
      </w:r>
    </w:p>
    <w:p w:rsidR="002A20DC" w:rsidRDefault="002A20DC" w:rsidP="002A20DC">
      <w:pPr>
        <w:pStyle w:val="NormaleWeb"/>
        <w:numPr>
          <w:ilvl w:val="0"/>
          <w:numId w:val="1"/>
        </w:numPr>
        <w:spacing w:before="2" w:after="2"/>
        <w:rPr>
          <w:sz w:val="18"/>
          <w:szCs w:val="18"/>
        </w:rPr>
      </w:pPr>
      <w:r>
        <w:rPr>
          <w:sz w:val="18"/>
          <w:szCs w:val="18"/>
        </w:rPr>
        <w:t xml:space="preserve">3. analisi della fattibilità economica e sociale (analisi costi-benefici); </w:t>
      </w:r>
    </w:p>
    <w:p w:rsidR="002A20DC" w:rsidRDefault="002A20DC" w:rsidP="002A20DC">
      <w:pPr>
        <w:pStyle w:val="NormaleWeb"/>
        <w:numPr>
          <w:ilvl w:val="0"/>
          <w:numId w:val="1"/>
        </w:numPr>
        <w:spacing w:before="2" w:after="2"/>
        <w:rPr>
          <w:sz w:val="18"/>
          <w:szCs w:val="18"/>
        </w:rPr>
      </w:pPr>
      <w:r>
        <w:rPr>
          <w:sz w:val="18"/>
          <w:szCs w:val="18"/>
        </w:rPr>
        <w:t xml:space="preserve">4. schema di sistema tariffario, nel caso di concessione; </w:t>
      </w:r>
    </w:p>
    <w:p w:rsidR="002A20DC" w:rsidRDefault="002A20DC" w:rsidP="002A20DC">
      <w:pPr>
        <w:pStyle w:val="NormaleWeb"/>
        <w:numPr>
          <w:ilvl w:val="0"/>
          <w:numId w:val="1"/>
        </w:numPr>
        <w:spacing w:before="2" w:after="2"/>
        <w:rPr>
          <w:sz w:val="18"/>
          <w:szCs w:val="18"/>
        </w:rPr>
      </w:pPr>
      <w:r>
        <w:rPr>
          <w:sz w:val="18"/>
          <w:szCs w:val="18"/>
        </w:rPr>
        <w:t>5. elementi essenziali dello schema di contratto.</w:t>
      </w:r>
    </w:p>
    <w:p w:rsidR="002A20DC" w:rsidRDefault="002A20DC">
      <w:pPr>
        <w:pStyle w:val="Testonotaapidipagina"/>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0E90"/>
    <w:multiLevelType w:val="multilevel"/>
    <w:tmpl w:val="C6D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6E3"/>
    <w:rsid w:val="002A20DC"/>
    <w:rsid w:val="00424F33"/>
    <w:rsid w:val="004A3225"/>
    <w:rsid w:val="004C7361"/>
    <w:rsid w:val="005E09EE"/>
    <w:rsid w:val="00703F29"/>
    <w:rsid w:val="007F12B2"/>
    <w:rsid w:val="008B7D97"/>
    <w:rsid w:val="009536E3"/>
    <w:rsid w:val="00A478E7"/>
    <w:rsid w:val="00C03BA8"/>
    <w:rsid w:val="00C270BA"/>
    <w:rsid w:val="00D20854"/>
    <w:rsid w:val="00E71F60"/>
    <w:rsid w:val="00F51FF7"/>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65D"/>
  </w:style>
  <w:style w:type="paragraph" w:styleId="Titolo3">
    <w:name w:val="heading 3"/>
    <w:basedOn w:val="Normale"/>
    <w:link w:val="Titolo3Carattere"/>
    <w:uiPriority w:val="9"/>
    <w:rsid w:val="009536E3"/>
    <w:pPr>
      <w:spacing w:beforeLines="1" w:afterLines="1"/>
      <w:outlineLvl w:val="2"/>
    </w:pPr>
    <w:rPr>
      <w:rFonts w:ascii="Times" w:hAnsi="Times"/>
      <w:b/>
      <w:sz w:val="27"/>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9536E3"/>
    <w:rPr>
      <w:rFonts w:ascii="Times" w:hAnsi="Times"/>
      <w:b/>
      <w:sz w:val="27"/>
      <w:szCs w:val="20"/>
      <w:lang w:eastAsia="it-IT"/>
    </w:rPr>
  </w:style>
  <w:style w:type="paragraph" w:styleId="PreformattatoHTML">
    <w:name w:val="HTML Preformatted"/>
    <w:basedOn w:val="Normale"/>
    <w:link w:val="PreformattatoHTMLCarattere"/>
    <w:uiPriority w:val="99"/>
    <w:rsid w:val="004C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rsid w:val="004C7361"/>
    <w:rPr>
      <w:rFonts w:ascii="Courier" w:hAnsi="Courier" w:cs="Courier"/>
      <w:sz w:val="20"/>
      <w:szCs w:val="20"/>
      <w:lang w:eastAsia="it-IT"/>
    </w:rPr>
  </w:style>
  <w:style w:type="paragraph" w:styleId="Testonotaapidipagina">
    <w:name w:val="footnote text"/>
    <w:basedOn w:val="Normale"/>
    <w:link w:val="TestonotaapidipaginaCarattere"/>
    <w:uiPriority w:val="99"/>
    <w:semiHidden/>
    <w:unhideWhenUsed/>
    <w:rsid w:val="00703F29"/>
  </w:style>
  <w:style w:type="character" w:customStyle="1" w:styleId="TestonotaapidipaginaCarattere">
    <w:name w:val="Testo nota a piè di pagina Carattere"/>
    <w:basedOn w:val="Caratterepredefinitoparagrafo"/>
    <w:link w:val="Testonotaapidipagina"/>
    <w:uiPriority w:val="99"/>
    <w:semiHidden/>
    <w:rsid w:val="00703F29"/>
  </w:style>
  <w:style w:type="character" w:styleId="Rimandonotaapidipagina">
    <w:name w:val="footnote reference"/>
    <w:basedOn w:val="Caratterepredefinitoparagrafo"/>
    <w:uiPriority w:val="99"/>
    <w:semiHidden/>
    <w:unhideWhenUsed/>
    <w:rsid w:val="00703F29"/>
    <w:rPr>
      <w:vertAlign w:val="superscript"/>
    </w:rPr>
  </w:style>
  <w:style w:type="paragraph" w:styleId="NormaleWeb">
    <w:name w:val="Normal (Web)"/>
    <w:basedOn w:val="Normale"/>
    <w:uiPriority w:val="99"/>
    <w:rsid w:val="002A20DC"/>
    <w:pPr>
      <w:spacing w:beforeLines="1" w:afterLines="1"/>
    </w:pPr>
    <w:rPr>
      <w:rFonts w:ascii="Times"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33332562">
      <w:bodyDiv w:val="1"/>
      <w:marLeft w:val="0"/>
      <w:marRight w:val="0"/>
      <w:marTop w:val="0"/>
      <w:marBottom w:val="0"/>
      <w:divBdr>
        <w:top w:val="none" w:sz="0" w:space="0" w:color="auto"/>
        <w:left w:val="none" w:sz="0" w:space="0" w:color="auto"/>
        <w:bottom w:val="none" w:sz="0" w:space="0" w:color="auto"/>
        <w:right w:val="none" w:sz="0" w:space="0" w:color="auto"/>
      </w:divBdr>
    </w:div>
    <w:div w:id="444546229">
      <w:bodyDiv w:val="1"/>
      <w:marLeft w:val="0"/>
      <w:marRight w:val="0"/>
      <w:marTop w:val="0"/>
      <w:marBottom w:val="0"/>
      <w:divBdr>
        <w:top w:val="none" w:sz="0" w:space="0" w:color="auto"/>
        <w:left w:val="none" w:sz="0" w:space="0" w:color="auto"/>
        <w:bottom w:val="none" w:sz="0" w:space="0" w:color="auto"/>
        <w:right w:val="none" w:sz="0" w:space="0" w:color="auto"/>
      </w:divBdr>
      <w:divsChild>
        <w:div w:id="128980459">
          <w:marLeft w:val="0"/>
          <w:marRight w:val="0"/>
          <w:marTop w:val="0"/>
          <w:marBottom w:val="0"/>
          <w:divBdr>
            <w:top w:val="none" w:sz="0" w:space="0" w:color="auto"/>
            <w:left w:val="none" w:sz="0" w:space="0" w:color="auto"/>
            <w:bottom w:val="none" w:sz="0" w:space="0" w:color="auto"/>
            <w:right w:val="none" w:sz="0" w:space="0" w:color="auto"/>
          </w:divBdr>
        </w:div>
        <w:div w:id="1685008432">
          <w:marLeft w:val="0"/>
          <w:marRight w:val="0"/>
          <w:marTop w:val="0"/>
          <w:marBottom w:val="0"/>
          <w:divBdr>
            <w:top w:val="none" w:sz="0" w:space="0" w:color="auto"/>
            <w:left w:val="none" w:sz="0" w:space="0" w:color="auto"/>
            <w:bottom w:val="none" w:sz="0" w:space="0" w:color="auto"/>
            <w:right w:val="none" w:sz="0" w:space="0" w:color="auto"/>
          </w:divBdr>
        </w:div>
        <w:div w:id="1092430004">
          <w:marLeft w:val="0"/>
          <w:marRight w:val="0"/>
          <w:marTop w:val="0"/>
          <w:marBottom w:val="0"/>
          <w:divBdr>
            <w:top w:val="none" w:sz="0" w:space="0" w:color="auto"/>
            <w:left w:val="none" w:sz="0" w:space="0" w:color="auto"/>
            <w:bottom w:val="none" w:sz="0" w:space="0" w:color="auto"/>
            <w:right w:val="none" w:sz="0" w:space="0" w:color="auto"/>
          </w:divBdr>
        </w:div>
      </w:divsChild>
    </w:div>
    <w:div w:id="580677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4240</Characters>
  <Application>Microsoft Macintosh Word</Application>
  <DocSecurity>0</DocSecurity>
  <Lines>35</Lines>
  <Paragraphs>8</Paragraphs>
  <ScaleCrop>false</ScaleCrop>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4</cp:revision>
  <dcterms:created xsi:type="dcterms:W3CDTF">2014-07-19T12:50:00Z</dcterms:created>
  <dcterms:modified xsi:type="dcterms:W3CDTF">2014-07-20T07:55:00Z</dcterms:modified>
</cp:coreProperties>
</file>