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0283D" w:rsidRPr="00217CA3" w:rsidRDefault="0060283D" w:rsidP="0060283D">
      <w:pPr>
        <w:pStyle w:val="NormaleWeb"/>
        <w:spacing w:before="240" w:beforeAutospacing="0" w:after="240" w:afterAutospacing="0" w:line="330" w:lineRule="atLeast"/>
        <w:jc w:val="center"/>
        <w:rPr>
          <w:rStyle w:val="Enfasigrassetto"/>
          <w:rFonts w:ascii="Oxygen-Regular" w:hAnsi="Oxygen-Regular"/>
        </w:rPr>
      </w:pPr>
      <w:r w:rsidRPr="00217CA3">
        <w:rPr>
          <w:rStyle w:val="Enfasigrassetto"/>
          <w:rFonts w:ascii="Oxygen-Regular" w:hAnsi="Oxygen-Regular"/>
        </w:rPr>
        <w:t>DL 76 /2020 (semplificazione) - in Senato per la conversione</w:t>
      </w:r>
    </w:p>
    <w:p w:rsidR="0060283D" w:rsidRPr="00217CA3" w:rsidRDefault="0060283D" w:rsidP="0060283D">
      <w:pPr>
        <w:pStyle w:val="NormaleWeb"/>
        <w:spacing w:before="240" w:beforeAutospacing="0" w:after="240" w:afterAutospacing="0" w:line="330" w:lineRule="atLeast"/>
        <w:jc w:val="center"/>
        <w:rPr>
          <w:rStyle w:val="Enfasigrassetto"/>
          <w:rFonts w:asciiTheme="minorHAnsi" w:hAnsiTheme="minorHAnsi"/>
          <w:b w:val="0"/>
          <w:sz w:val="20"/>
          <w:szCs w:val="20"/>
          <w:u w:val="single"/>
        </w:rPr>
      </w:pPr>
      <w:r w:rsidRPr="00217CA3">
        <w:rPr>
          <w:rStyle w:val="Enfasigrassetto"/>
          <w:rFonts w:asciiTheme="minorHAnsi" w:hAnsiTheme="minorHAnsi"/>
          <w:b w:val="0"/>
          <w:sz w:val="20"/>
          <w:szCs w:val="20"/>
          <w:u w:val="single"/>
        </w:rPr>
        <w:t xml:space="preserve">NB - di seguito sono riportate solo le parti relative all’edilizia : testo modificato in nota </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TITOLO I - SEMPLIFICAZIONI IN MATERIA DI CONTRATTI PUBBLICI ED EDILIZIA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 - Semplificazioni in materia di contratti pubblici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1 - Procedure per l’incentivazione degli investimenti pubblici durante il periodo emergenziale in relazione all’aggiudicazione dei contratti pubblici sotto soglia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2 - Procedure per l’incentivazione degli investimenti pubblici in relazione all’aggiudicazione dei contratti pubblici sopra soglia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3 - Verifiche antimafia e protocolli di legalità</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4 - Conclusione dei contratti pubblici e ricorsi giurisdizionali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5 - Sospensione dell’esecuzione dell’opera pubblica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6 - Collegio consultivo tecnico</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7 - Fondo per la prosecuzione delle opere pubbliche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8 - Altre disposizioni urgenti in materia di contratti pubblici</w:t>
      </w:r>
    </w:p>
    <w:p w:rsidR="0060283D"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9 - Misure di accelerazione degli interventi infrastrutturali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 - Semplificazione e altre misure in materia edilizia e per la ricostruzione pubblica nelle aree colpite da eventi sismici</w:t>
      </w:r>
    </w:p>
    <w:p w:rsidR="00883ACB" w:rsidRPr="00217CA3" w:rsidRDefault="00883ACB" w:rsidP="00217CA3">
      <w:pPr>
        <w:pStyle w:val="NormaleWeb"/>
        <w:spacing w:before="240" w:beforeAutospacing="0" w:after="240" w:afterAutospacing="0" w:line="330" w:lineRule="atLeast"/>
        <w:jc w:val="center"/>
        <w:rPr>
          <w:rStyle w:val="Enfasigrassetto"/>
          <w:rFonts w:ascii="Oxygen-Regular" w:hAnsi="Oxygen-Regular"/>
          <w:sz w:val="32"/>
          <w:szCs w:val="32"/>
        </w:rPr>
      </w:pPr>
      <w:r w:rsidRPr="00217CA3">
        <w:rPr>
          <w:rStyle w:val="Enfasigrassetto"/>
          <w:rFonts w:ascii="Oxygen-Regular" w:hAnsi="Oxygen-Regular"/>
          <w:sz w:val="32"/>
          <w:szCs w:val="32"/>
        </w:rPr>
        <w:t>Art. </w:t>
      </w:r>
      <w:bookmarkStart w:id="0" w:name="10"/>
      <w:r w:rsidRPr="00217CA3">
        <w:rPr>
          <w:rStyle w:val="Enfasigrassetto"/>
          <w:rFonts w:ascii="Oxygen-Regular" w:hAnsi="Oxygen-Regular"/>
          <w:sz w:val="32"/>
          <w:szCs w:val="32"/>
        </w:rPr>
        <w:t>10</w:t>
      </w:r>
      <w:bookmarkEnd w:id="0"/>
      <w:r w:rsidRPr="00217CA3">
        <w:rPr>
          <w:rStyle w:val="Enfasigrassetto"/>
          <w:rFonts w:ascii="Oxygen-Regular" w:hAnsi="Oxygen-Regular"/>
          <w:sz w:val="32"/>
          <w:szCs w:val="32"/>
        </w:rPr>
        <w:t>. Semplificazioni e altre misure in materia edilizia</w:t>
      </w:r>
    </w:p>
    <w:p w:rsidR="00883ACB" w:rsidRPr="00217CA3" w:rsidRDefault="00883ACB" w:rsidP="0015225C">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b/>
          <w:sz w:val="28"/>
          <w:szCs w:val="28"/>
          <w:lang w:eastAsia="it-IT"/>
        </w:rPr>
        <w:t>1.</w:t>
      </w:r>
      <w:r w:rsidRPr="00217CA3">
        <w:rPr>
          <w:rFonts w:ascii="Tahoma" w:eastAsia="Times New Roman" w:hAnsi="Tahoma" w:cs="Times New Roman"/>
          <w:sz w:val="20"/>
          <w:szCs w:val="20"/>
          <w:lang w:eastAsia="it-IT"/>
        </w:rPr>
        <w:t xml:space="preserve"> Al fine di semplificare e accelerare le procedure edilizie e ridurre gli oneri a carico dei cittadini e delle imprese, nonché di assicurare il recupero e la qualificazione del patrimonio edilizio esistente e lo sviluppo di processi di rigenerazione urbana, al testo unico delle disposizioni legislative e regolamentari in materia edilizia, di cui al </w:t>
      </w:r>
      <w:hyperlink r:id="rId7" w:history="1">
        <w:r w:rsidRPr="00217CA3">
          <w:rPr>
            <w:rFonts w:ascii="Tahoma" w:eastAsia="Times New Roman" w:hAnsi="Tahoma" w:cs="Times New Roman"/>
            <w:sz w:val="20"/>
            <w:szCs w:val="20"/>
            <w:u w:val="single"/>
            <w:lang w:eastAsia="it-IT"/>
          </w:rPr>
          <w:t>decreto del Presidente della Repubblica 6 giugno 2001, n. 380</w:t>
        </w:r>
      </w:hyperlink>
      <w:r w:rsidRPr="00217CA3">
        <w:rPr>
          <w:rFonts w:ascii="Tahoma" w:eastAsia="Times New Roman" w:hAnsi="Tahoma" w:cs="Times New Roman"/>
          <w:sz w:val="20"/>
          <w:szCs w:val="20"/>
          <w:lang w:eastAsia="it-IT"/>
        </w:rPr>
        <w:t>, sono apportate le seguenti modificazioni:</w:t>
      </w:r>
    </w:p>
    <w:p w:rsidR="0015225C" w:rsidRPr="00217CA3" w:rsidRDefault="00883ACB" w:rsidP="00170FA6">
      <w:pPr>
        <w:shd w:val="clear" w:color="auto" w:fill="F5FDFE"/>
        <w:spacing w:beforeAutospacing="1" w:after="100"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t>a) all’</w:t>
      </w:r>
      <w:hyperlink r:id="rId8" w:anchor="002-bis" w:history="1">
        <w:r w:rsidRPr="00217CA3">
          <w:rPr>
            <w:rFonts w:ascii="Tahoma" w:eastAsia="Times New Roman" w:hAnsi="Tahoma" w:cs="Times New Roman"/>
            <w:sz w:val="20"/>
            <w:szCs w:val="20"/>
            <w:u w:val="single"/>
            <w:lang w:eastAsia="it-IT"/>
          </w:rPr>
          <w:t>articolo 2-bis</w:t>
        </w:r>
        <w:r w:rsidR="00170FA6" w:rsidRPr="00217CA3">
          <w:rPr>
            <w:rStyle w:val="Rimandonotaapidipagina"/>
            <w:rFonts w:ascii="Tahoma" w:eastAsia="Times New Roman" w:hAnsi="Tahoma" w:cs="Times New Roman"/>
            <w:sz w:val="20"/>
            <w:szCs w:val="20"/>
            <w:lang w:eastAsia="it-IT"/>
          </w:rPr>
          <w:footnoteReference w:id="1"/>
        </w:r>
        <w:r w:rsidRPr="00217CA3">
          <w:rPr>
            <w:rFonts w:ascii="Tahoma" w:eastAsia="Times New Roman" w:hAnsi="Tahoma" w:cs="Times New Roman"/>
            <w:sz w:val="20"/>
            <w:szCs w:val="20"/>
            <w:u w:val="single"/>
            <w:lang w:eastAsia="it-IT"/>
          </w:rPr>
          <w:t>, il comma 1-ter</w:t>
        </w:r>
      </w:hyperlink>
      <w:r w:rsidRPr="00217CA3">
        <w:rPr>
          <w:rFonts w:ascii="Tahoma" w:eastAsia="Times New Roman" w:hAnsi="Tahoma" w:cs="Times New Roman"/>
          <w:sz w:val="20"/>
          <w:szCs w:val="20"/>
          <w:lang w:eastAsia="it-IT"/>
        </w:rPr>
        <w:t>, è sostituito dal seguente: </w:t>
      </w:r>
      <w:r w:rsidRPr="00217CA3">
        <w:rPr>
          <w:rFonts w:ascii="Tahoma" w:eastAsia="Times New Roman" w:hAnsi="Tahoma" w:cs="Times New Roman"/>
          <w:i/>
          <w:iCs/>
          <w:sz w:val="20"/>
          <w:szCs w:val="20"/>
          <w:lang w:eastAsia="it-IT"/>
        </w:rPr>
        <w:t xml:space="preserve">«1-ter. In ogni caso di intervento che preveda la demolizione e ricostruzione di edifici, anche qualora le dimensioni del lotto di pertinenza non consentano </w:t>
      </w:r>
      <w:r w:rsidRPr="00217CA3">
        <w:rPr>
          <w:rFonts w:ascii="Tahoma" w:eastAsia="Times New Roman" w:hAnsi="Tahoma" w:cs="Times New Roman"/>
          <w:i/>
          <w:iCs/>
          <w:sz w:val="20"/>
          <w:szCs w:val="20"/>
          <w:lang w:eastAsia="it-IT"/>
        </w:rPr>
        <w:lastRenderedPageBreak/>
        <w:t>la modifica dell’area di sedime ai fini del rispetto delle distanze minime tra gli edifici e dai confini, la ricostruzione è comunque consentita nell’osservanza delle distanze legittimamente preesistenti. Gli incentivi volumetrici eventualmente riconosciuti per l’intervento possono essere realizzati anche con ampliamenti fuori sagoma e con il superamento dell’altezza massima dell’edificio demolito, sempre nel rispetto delle distanze legittimamente preesistenti. Nelle zone omogenee A, gli interventi di demolizione e ricostruzione, sono consentit</w:t>
      </w:r>
      <w:r w:rsidR="00217CA3" w:rsidRPr="00217CA3">
        <w:rPr>
          <w:rFonts w:ascii="Tahoma" w:eastAsia="Times New Roman" w:hAnsi="Tahoma" w:cs="Times New Roman"/>
          <w:i/>
          <w:iCs/>
          <w:sz w:val="20"/>
          <w:szCs w:val="20"/>
          <w:lang w:eastAsia="it-IT"/>
        </w:rPr>
        <w:t>i</w:t>
      </w:r>
      <w:r w:rsidRPr="00217CA3">
        <w:rPr>
          <w:rFonts w:ascii="Tahoma" w:eastAsia="Times New Roman" w:hAnsi="Tahoma" w:cs="Times New Roman"/>
          <w:i/>
          <w:iCs/>
          <w:sz w:val="20"/>
          <w:szCs w:val="20"/>
          <w:lang w:eastAsia="it-IT"/>
        </w:rPr>
        <w:t xml:space="preserve"> esclusivamente nell’ambito di piani urbanistici di recupero e di riqualificazione particolareggiati, di competenza comunale, fatte salve le previsioni degli strumenti di pianificazione urbanistica vigenti.»</w:t>
      </w:r>
      <w:r w:rsidRPr="00217CA3">
        <w:rPr>
          <w:rFonts w:ascii="Tahoma" w:eastAsia="Times New Roman" w:hAnsi="Tahoma" w:cs="Times New Roman"/>
          <w:sz w:val="20"/>
          <w:szCs w:val="20"/>
          <w:lang w:eastAsia="it-IT"/>
        </w:rPr>
        <w:t>; </w:t>
      </w:r>
      <w:r w:rsidRPr="00217CA3">
        <w:rPr>
          <w:rFonts w:ascii="Tahoma" w:eastAsia="Times New Roman" w:hAnsi="Tahoma" w:cs="Times New Roman"/>
          <w:sz w:val="20"/>
          <w:szCs w:val="20"/>
          <w:lang w:eastAsia="it-IT"/>
        </w:rPr>
        <w:br/>
      </w:r>
    </w:p>
    <w:p w:rsidR="00883ACB" w:rsidRPr="00217CA3" w:rsidRDefault="00883ACB" w:rsidP="00170FA6">
      <w:pPr>
        <w:shd w:val="clear" w:color="auto" w:fill="F5FDFE"/>
        <w:spacing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b) all’</w:t>
      </w:r>
      <w:hyperlink r:id="rId9" w:anchor="003" w:history="1">
        <w:r w:rsidRPr="00217CA3">
          <w:rPr>
            <w:rFonts w:ascii="Tahoma" w:eastAsia="Times New Roman" w:hAnsi="Tahoma" w:cs="Times New Roman"/>
            <w:sz w:val="20"/>
            <w:szCs w:val="20"/>
            <w:u w:val="single"/>
            <w:lang w:eastAsia="it-IT"/>
          </w:rPr>
          <w:t>articolo 3</w:t>
        </w:r>
        <w:r w:rsidR="0015225C" w:rsidRPr="00217CA3">
          <w:rPr>
            <w:rFonts w:ascii="Tahoma" w:eastAsia="Times New Roman" w:hAnsi="Tahoma" w:cs="Times New Roman"/>
            <w:sz w:val="20"/>
            <w:szCs w:val="20"/>
            <w:u w:val="single"/>
            <w:lang w:eastAsia="it-IT"/>
          </w:rPr>
          <w:t xml:space="preserve"> </w:t>
        </w:r>
        <w:r w:rsidR="0015225C" w:rsidRPr="00217CA3">
          <w:rPr>
            <w:rStyle w:val="Rimandonotaapidipagina"/>
            <w:rFonts w:ascii="Tahoma" w:eastAsia="Times New Roman" w:hAnsi="Tahoma" w:cs="Times New Roman"/>
            <w:sz w:val="20"/>
            <w:szCs w:val="20"/>
            <w:u w:val="single"/>
            <w:lang w:eastAsia="it-IT"/>
          </w:rPr>
          <w:footnoteReference w:id="2"/>
        </w:r>
        <w:r w:rsidRPr="00217CA3">
          <w:rPr>
            <w:rFonts w:ascii="Tahoma" w:eastAsia="Times New Roman" w:hAnsi="Tahoma" w:cs="Times New Roman"/>
            <w:sz w:val="20"/>
            <w:szCs w:val="20"/>
            <w:u w:val="single"/>
            <w:lang w:eastAsia="it-IT"/>
          </w:rPr>
          <w:t>, comma 1</w:t>
        </w:r>
      </w:hyperlink>
      <w:r w:rsidRPr="00217CA3">
        <w:rPr>
          <w:rFonts w:ascii="Tahoma" w:eastAsia="Times New Roman" w:hAnsi="Tahoma" w:cs="Times New Roman"/>
          <w:sz w:val="20"/>
          <w:szCs w:val="20"/>
          <w:lang w:eastAsia="it-IT"/>
        </w:rPr>
        <w:t>: </w:t>
      </w:r>
    </w:p>
    <w:p w:rsidR="00883ACB" w:rsidRPr="00217CA3" w:rsidRDefault="00883ACB" w:rsidP="00883ACB">
      <w:pPr>
        <w:shd w:val="clear" w:color="auto" w:fill="F5FDFE"/>
        <w:spacing w:beforeAutospacing="1"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lastRenderedPageBreak/>
        <w:t>1) alla lettera b), primo periodo, le parole </w:t>
      </w:r>
      <w:r w:rsidRPr="00217CA3">
        <w:rPr>
          <w:rFonts w:ascii="Tahoma" w:eastAsia="Times New Roman" w:hAnsi="Tahoma" w:cs="Times New Roman"/>
          <w:i/>
          <w:iCs/>
          <w:sz w:val="20"/>
          <w:szCs w:val="20"/>
          <w:lang w:eastAsia="it-IT"/>
        </w:rPr>
        <w:t>«e non comportino modifiche delle destinazioni di uso»</w:t>
      </w:r>
      <w:r w:rsidRPr="00217CA3">
        <w:rPr>
          <w:rFonts w:ascii="Tahoma" w:eastAsia="Times New Roman" w:hAnsi="Tahoma" w:cs="Times New Roman"/>
          <w:sz w:val="20"/>
          <w:szCs w:val="20"/>
          <w:lang w:eastAsia="it-IT"/>
        </w:rPr>
        <w:t> sono sostituite dalle seguenti:</w:t>
      </w:r>
      <w:r w:rsidRPr="00217CA3">
        <w:rPr>
          <w:rFonts w:ascii="Tahoma" w:eastAsia="Times New Roman" w:hAnsi="Tahoma" w:cs="Times New Roman"/>
          <w:i/>
          <w:iCs/>
          <w:sz w:val="20"/>
          <w:szCs w:val="20"/>
          <w:lang w:eastAsia="it-IT"/>
        </w:rPr>
        <w:t> «e non comportino mutamenti urbanisticamente rilevanti delle destinazioni d’uso implicanti incremento del carico urbanistico»</w:t>
      </w:r>
      <w:r w:rsidRPr="00217CA3">
        <w:rPr>
          <w:rFonts w:ascii="Tahoma" w:eastAsia="Times New Roman" w:hAnsi="Tahoma" w:cs="Times New Roman"/>
          <w:sz w:val="20"/>
          <w:szCs w:val="20"/>
          <w:lang w:eastAsia="it-IT"/>
        </w:rPr>
        <w:t> e, dopo il secondo periodo, è aggiunto il seguente: </w:t>
      </w:r>
      <w:r w:rsidRPr="00217CA3">
        <w:rPr>
          <w:rFonts w:ascii="Tahoma" w:eastAsia="Times New Roman" w:hAnsi="Tahoma" w:cs="Times New Roman"/>
          <w:i/>
          <w:iCs/>
          <w:sz w:val="20"/>
          <w:szCs w:val="20"/>
          <w:lang w:eastAsia="it-IT"/>
        </w:rPr>
        <w:t>«Nell’ambito degli interventi di manutenzione straordinaria sono comprese anche le modifiche ai prospetti degli edifici legittimamente realizzati necessarie per mantenere o acquisire l’agibilità dell’edificio ovvero per l’accesso allo stesso, che non pregiudichino il decoro architettonico dell’edificio, purché l’intervento risulti conforme alla vigente disciplina urbanistica ed edilizia e non abbia ad oggetto immobili sottoposti a tutela ai sensi del </w:t>
      </w:r>
      <w:hyperlink r:id="rId10" w:history="1">
        <w:r w:rsidRPr="00217CA3">
          <w:rPr>
            <w:rFonts w:ascii="Tahoma" w:eastAsia="Times New Roman" w:hAnsi="Tahoma" w:cs="Times New Roman"/>
            <w:i/>
            <w:iCs/>
            <w:sz w:val="20"/>
            <w:szCs w:val="20"/>
            <w:u w:val="single"/>
            <w:lang w:eastAsia="it-IT"/>
          </w:rPr>
          <w:t>Codice dei beni culturali e del paesaggio di cui al decreto legislativo 22 gennaio 2004, n. 42</w:t>
        </w:r>
      </w:hyperlink>
      <w:r w:rsidRPr="00217CA3">
        <w:rPr>
          <w:rFonts w:ascii="Tahoma" w:eastAsia="Times New Roman" w:hAnsi="Tahoma" w:cs="Times New Roman"/>
          <w:i/>
          <w:iCs/>
          <w:sz w:val="20"/>
          <w:szCs w:val="20"/>
          <w:lang w:eastAsia="it-IT"/>
        </w:rPr>
        <w:t>.»;</w:t>
      </w:r>
      <w:r w:rsidRPr="00217CA3">
        <w:rPr>
          <w:rFonts w:ascii="Tahoma" w:eastAsia="Times New Roman" w:hAnsi="Tahoma" w:cs="Times New Roman"/>
          <w:sz w:val="20"/>
          <w:szCs w:val="20"/>
          <w:lang w:eastAsia="it-IT"/>
        </w:rPr>
        <w:br/>
        <w:t>2) alla lettera d), il terzo e il quarto periodo sono sostituiti dai seguenti: </w:t>
      </w:r>
      <w:r w:rsidRPr="00217CA3">
        <w:rPr>
          <w:rFonts w:ascii="Tahoma" w:eastAsia="Times New Roman" w:hAnsi="Tahoma" w:cs="Times New Roman"/>
          <w:i/>
          <w:iCs/>
          <w:sz w:val="20"/>
          <w:szCs w:val="20"/>
          <w:lang w:eastAsia="it-IT"/>
        </w:rPr>
        <w:t>«Nell’ambito degli interventi di ristrutturazione edilizia sono ricompresi altresì gli interventi di demolizione e ricostruzione di edifici esistenti con diversa sagoma, prospetti, sedime e caratteristiche planivolumetriche e tipologiche, con le innovazioni necessarie per l’adeguamento alla normativa antisismica, per l’applicazione della normativa sull’accessibilità, per l’istallazione di impianti tecnologici e per l’</w:t>
      </w:r>
      <w:proofErr w:type="spellStart"/>
      <w:r w:rsidRPr="00217CA3">
        <w:rPr>
          <w:rFonts w:ascii="Tahoma" w:eastAsia="Times New Roman" w:hAnsi="Tahoma" w:cs="Times New Roman"/>
          <w:i/>
          <w:iCs/>
          <w:sz w:val="20"/>
          <w:szCs w:val="20"/>
          <w:lang w:eastAsia="it-IT"/>
        </w:rPr>
        <w:t>efficientamento</w:t>
      </w:r>
      <w:proofErr w:type="spellEnd"/>
      <w:r w:rsidRPr="00217CA3">
        <w:rPr>
          <w:rFonts w:ascii="Tahoma" w:eastAsia="Times New Roman" w:hAnsi="Tahoma" w:cs="Times New Roman"/>
          <w:i/>
          <w:iCs/>
          <w:sz w:val="20"/>
          <w:szCs w:val="20"/>
          <w:lang w:eastAsia="it-IT"/>
        </w:rPr>
        <w:t xml:space="preserve"> energetico. L’intervento può prevedere altresì, nei soli casi espressamente previsti dalla legislazione vigente o dagli strumenti urbanistici comunali, incrementi di volumetria anche per promuovere interventi di rigenerazione urbana. Costituiscono inoltre ristrutturazione edilizia gli interventi volti al ripristino di edifici, o parti di essi, eventualmente crollati o demoliti, attraverso la loro ricostruzione, purché sia possibile accertarne la preesistente consistenza. Rimane fermo che, con riferimento agli immobili sottoposti a tutela ai sensi del </w:t>
      </w:r>
      <w:hyperlink r:id="rId11" w:history="1">
        <w:r w:rsidRPr="00217CA3">
          <w:rPr>
            <w:rFonts w:ascii="Tahoma" w:eastAsia="Times New Roman" w:hAnsi="Tahoma" w:cs="Times New Roman"/>
            <w:i/>
            <w:iCs/>
            <w:sz w:val="20"/>
            <w:szCs w:val="20"/>
            <w:u w:val="single"/>
            <w:lang w:eastAsia="it-IT"/>
          </w:rPr>
          <w:t>Codice dei beni culturali e del paesaggio di cui al decreto legislativo 22 gennaio 2004, n. 42</w:t>
        </w:r>
      </w:hyperlink>
      <w:r w:rsidRPr="00217CA3">
        <w:rPr>
          <w:rFonts w:ascii="Tahoma" w:eastAsia="Times New Roman" w:hAnsi="Tahoma" w:cs="Times New Roman"/>
          <w:i/>
          <w:iCs/>
          <w:sz w:val="20"/>
          <w:szCs w:val="20"/>
          <w:lang w:eastAsia="it-IT"/>
        </w:rPr>
        <w:t>, nonché a quelli ubicati nelle zone omogenee A, gli interventi di demolizione e ricostruzione e gli interventi di ripristino di edifici crollati o demoliti costituiscono interventi di ristrutturazione edilizia soltanto ove siano mantenuti sagoma, prospetti, sedime e caratteristiche planivolumetriche e tipologiche dell’edificio preesistente e non siano previsti incrementi di volumetria.»</w:t>
      </w:r>
      <w:r w:rsidRPr="00217CA3">
        <w:rPr>
          <w:rFonts w:ascii="Tahoma" w:eastAsia="Times New Roman" w:hAnsi="Tahoma" w:cs="Times New Roman"/>
          <w:sz w:val="20"/>
          <w:szCs w:val="20"/>
          <w:lang w:eastAsia="it-IT"/>
        </w:rPr>
        <w:t>; </w:t>
      </w:r>
    </w:p>
    <w:p w:rsidR="00883ACB" w:rsidRPr="00217CA3" w:rsidRDefault="00883ACB" w:rsidP="00170FA6">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lastRenderedPageBreak/>
        <w:t>c) all’</w:t>
      </w:r>
      <w:hyperlink r:id="rId12" w:anchor="006" w:history="1">
        <w:r w:rsidRPr="00217CA3">
          <w:rPr>
            <w:rFonts w:ascii="Tahoma" w:eastAsia="Times New Roman" w:hAnsi="Tahoma" w:cs="Times New Roman"/>
            <w:sz w:val="20"/>
            <w:szCs w:val="20"/>
            <w:u w:val="single"/>
            <w:lang w:eastAsia="it-IT"/>
          </w:rPr>
          <w:t>articolo 6</w:t>
        </w:r>
        <w:r w:rsidR="00170FA6" w:rsidRPr="00217CA3">
          <w:rPr>
            <w:rStyle w:val="Rimandonotaapidipagina"/>
            <w:rFonts w:ascii="Tahoma" w:eastAsia="Times New Roman" w:hAnsi="Tahoma" w:cs="Times New Roman"/>
            <w:sz w:val="20"/>
            <w:szCs w:val="20"/>
            <w:lang w:eastAsia="it-IT"/>
          </w:rPr>
          <w:footnoteReference w:id="3"/>
        </w:r>
        <w:r w:rsidRPr="00217CA3">
          <w:rPr>
            <w:rFonts w:ascii="Tahoma" w:eastAsia="Times New Roman" w:hAnsi="Tahoma" w:cs="Times New Roman"/>
            <w:sz w:val="20"/>
            <w:szCs w:val="20"/>
            <w:u w:val="single"/>
            <w:lang w:eastAsia="it-IT"/>
          </w:rPr>
          <w:t>, comma 1, la lettera e-bis)</w:t>
        </w:r>
      </w:hyperlink>
      <w:r w:rsidRPr="00217CA3">
        <w:rPr>
          <w:rFonts w:ascii="Tahoma" w:eastAsia="Times New Roman" w:hAnsi="Tahoma" w:cs="Times New Roman"/>
          <w:sz w:val="20"/>
          <w:szCs w:val="20"/>
          <w:lang w:eastAsia="it-IT"/>
        </w:rPr>
        <w:t> è sostituita dalla seguente: </w:t>
      </w:r>
      <w:r w:rsidRPr="00217CA3">
        <w:rPr>
          <w:rFonts w:ascii="Tahoma" w:eastAsia="Times New Roman" w:hAnsi="Tahoma" w:cs="Times New Roman"/>
          <w:i/>
          <w:iCs/>
          <w:sz w:val="20"/>
          <w:szCs w:val="20"/>
          <w:lang w:eastAsia="it-IT"/>
        </w:rPr>
        <w:t>«e-bis) le opere stagionali e quelle dirette a soddisfare obiettive esigenze, contingenti e temporanee, purché destinate ad essere immediatamente rimosse al cessare della temporanea necessità e, comunque, entro un termine non superiore a centottanta giorni comprensivo dei tempi di allestimento e smontaggio del manufatto, previa comunicazione di avvio dei lavori all’amministrazione comunale;»</w:t>
      </w:r>
      <w:r w:rsidRPr="00217CA3">
        <w:rPr>
          <w:rFonts w:ascii="Tahoma" w:eastAsia="Times New Roman" w:hAnsi="Tahoma" w:cs="Times New Roman"/>
          <w:sz w:val="20"/>
          <w:szCs w:val="20"/>
          <w:lang w:eastAsia="it-IT"/>
        </w:rPr>
        <w:t>; </w:t>
      </w:r>
    </w:p>
    <w:p w:rsidR="00883ACB" w:rsidRPr="00217CA3" w:rsidRDefault="00883ACB" w:rsidP="00170FA6">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d) all’</w:t>
      </w:r>
      <w:hyperlink r:id="rId13" w:anchor="009-bis" w:history="1">
        <w:r w:rsidRPr="00217CA3">
          <w:rPr>
            <w:rFonts w:ascii="Tahoma" w:eastAsia="Times New Roman" w:hAnsi="Tahoma" w:cs="Times New Roman"/>
            <w:sz w:val="20"/>
            <w:szCs w:val="20"/>
            <w:u w:val="single"/>
            <w:lang w:eastAsia="it-IT"/>
          </w:rPr>
          <w:t>articolo 9-bis</w:t>
        </w:r>
      </w:hyperlink>
      <w:r w:rsidR="00783DBF" w:rsidRPr="00217CA3">
        <w:rPr>
          <w:rStyle w:val="Rimandonotaapidipagina"/>
          <w:rFonts w:ascii="Tahoma" w:eastAsia="Times New Roman" w:hAnsi="Tahoma" w:cs="Times New Roman"/>
          <w:sz w:val="20"/>
          <w:szCs w:val="20"/>
          <w:lang w:eastAsia="it-IT"/>
        </w:rPr>
        <w:footnoteReference w:id="4"/>
      </w:r>
      <w:r w:rsidRPr="00217CA3">
        <w:rPr>
          <w:rFonts w:ascii="Tahoma" w:eastAsia="Times New Roman" w:hAnsi="Tahoma" w:cs="Times New Roman"/>
          <w:sz w:val="20"/>
          <w:szCs w:val="20"/>
          <w:lang w:eastAsia="it-IT"/>
        </w:rPr>
        <w:t> : </w:t>
      </w:r>
    </w:p>
    <w:p w:rsidR="00883ACB" w:rsidRPr="00217CA3" w:rsidRDefault="00883ACB" w:rsidP="00883ACB">
      <w:pPr>
        <w:shd w:val="clear" w:color="auto" w:fill="F5FDFE"/>
        <w:spacing w:beforeAutospacing="1"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1) la rubrica è sostituita dalla seguente: </w:t>
      </w:r>
      <w:r w:rsidRPr="00217CA3">
        <w:rPr>
          <w:rFonts w:ascii="Tahoma" w:eastAsia="Times New Roman" w:hAnsi="Tahoma" w:cs="Times New Roman"/>
          <w:i/>
          <w:iCs/>
          <w:sz w:val="20"/>
          <w:szCs w:val="20"/>
          <w:lang w:eastAsia="it-IT"/>
        </w:rPr>
        <w:t>«Documentazione amministrativa e stato legittimo degli immobili»</w:t>
      </w:r>
      <w:r w:rsidRPr="00217CA3">
        <w:rPr>
          <w:rFonts w:ascii="Tahoma" w:eastAsia="Times New Roman" w:hAnsi="Tahoma" w:cs="Times New Roman"/>
          <w:sz w:val="20"/>
          <w:szCs w:val="20"/>
          <w:lang w:eastAsia="it-IT"/>
        </w:rPr>
        <w:t>;</w:t>
      </w:r>
      <w:r w:rsidRPr="00217CA3">
        <w:rPr>
          <w:rFonts w:ascii="Tahoma" w:eastAsia="Times New Roman" w:hAnsi="Tahoma" w:cs="Times New Roman"/>
          <w:sz w:val="20"/>
          <w:szCs w:val="20"/>
          <w:lang w:eastAsia="it-IT"/>
        </w:rPr>
        <w:br/>
      </w:r>
      <w:r w:rsidRPr="00217CA3">
        <w:rPr>
          <w:rFonts w:ascii="Tahoma" w:eastAsia="Times New Roman" w:hAnsi="Tahoma" w:cs="Times New Roman"/>
          <w:sz w:val="20"/>
          <w:szCs w:val="20"/>
          <w:lang w:eastAsia="it-IT"/>
        </w:rPr>
        <w:lastRenderedPageBreak/>
        <w:t>2) dopo il comma 1, è aggiunto il seguente: </w:t>
      </w:r>
      <w:r w:rsidRPr="00217CA3">
        <w:rPr>
          <w:rFonts w:ascii="Tahoma" w:eastAsia="Times New Roman" w:hAnsi="Tahoma" w:cs="Times New Roman"/>
          <w:i/>
          <w:iCs/>
          <w:sz w:val="20"/>
          <w:szCs w:val="20"/>
          <w:lang w:eastAsia="it-IT"/>
        </w:rPr>
        <w:t>«1-bis. Lo stato legittimo dell’immobile o dell’unità immobiliare è quello stabilito dal titolo abilitativo che ne ha previsto la costruzione o da quello che ha disciplinato l’ultimo intervento edilizio che ha interessato l’intero immobile o unità immobiliare, integrati con gli eventuali titoli successivi che hanno abilitato interventi parziali. Per gli immobili realizzati in un’epoca nella quale non era obbligatorio acquisire il titolo abilitativo edilizio, lo stato legittimo è quello desumibile dalle informazioni catastali di primo impianto ovvero da altri documenti probanti, quali le riprese fotografiche, gli estratti cartografici, i documenti d’archivio, o altro atto, pubblico o privato, di cui sia dimostrata la provenienza. Le disposizioni di cui al secondo periodo si applicano altresì nei casi in cui sussista un principio di prova del titolo abilitativo del quale, tuttavia, non sia disponibile copia.»</w:t>
      </w:r>
      <w:r w:rsidRPr="00217CA3">
        <w:rPr>
          <w:rFonts w:ascii="Tahoma" w:eastAsia="Times New Roman" w:hAnsi="Tahoma" w:cs="Times New Roman"/>
          <w:sz w:val="20"/>
          <w:szCs w:val="20"/>
          <w:lang w:eastAsia="it-IT"/>
        </w:rPr>
        <w:t>;</w:t>
      </w:r>
    </w:p>
    <w:p w:rsidR="00883ACB" w:rsidRPr="00217CA3" w:rsidRDefault="00883ACB" w:rsidP="00170FA6">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e) all’</w:t>
      </w:r>
      <w:hyperlink r:id="rId14" w:anchor="010" w:history="1">
        <w:r w:rsidRPr="00217CA3">
          <w:rPr>
            <w:rFonts w:ascii="Tahoma" w:eastAsia="Times New Roman" w:hAnsi="Tahoma" w:cs="Times New Roman"/>
            <w:sz w:val="20"/>
            <w:szCs w:val="20"/>
            <w:u w:val="single"/>
            <w:lang w:eastAsia="it-IT"/>
          </w:rPr>
          <w:t>articolo 10</w:t>
        </w:r>
        <w:r w:rsidR="00170FA6" w:rsidRPr="00217CA3">
          <w:rPr>
            <w:rStyle w:val="Rimandonotaapidipagina"/>
            <w:rFonts w:ascii="Tahoma" w:eastAsia="Times New Roman" w:hAnsi="Tahoma" w:cs="Times New Roman"/>
            <w:sz w:val="20"/>
            <w:szCs w:val="20"/>
            <w:lang w:eastAsia="it-IT"/>
          </w:rPr>
          <w:footnoteReference w:id="5"/>
        </w:r>
        <w:r w:rsidRPr="00217CA3">
          <w:rPr>
            <w:rFonts w:ascii="Tahoma" w:eastAsia="Times New Roman" w:hAnsi="Tahoma" w:cs="Times New Roman"/>
            <w:sz w:val="20"/>
            <w:szCs w:val="20"/>
            <w:u w:val="single"/>
            <w:lang w:eastAsia="it-IT"/>
          </w:rPr>
          <w:t>, comma 1</w:t>
        </w:r>
      </w:hyperlink>
      <w:r w:rsidRPr="00217CA3">
        <w:rPr>
          <w:rFonts w:ascii="Tahoma" w:eastAsia="Times New Roman" w:hAnsi="Tahoma" w:cs="Times New Roman"/>
          <w:sz w:val="20"/>
          <w:szCs w:val="20"/>
          <w:lang w:eastAsia="it-IT"/>
        </w:rPr>
        <w:t>, la lettera c) è sostituita dalla seguente: “</w:t>
      </w:r>
      <w:r w:rsidRPr="00217CA3">
        <w:rPr>
          <w:rFonts w:ascii="Tahoma" w:eastAsia="Times New Roman" w:hAnsi="Tahoma" w:cs="Times New Roman"/>
          <w:i/>
          <w:iCs/>
          <w:sz w:val="20"/>
          <w:szCs w:val="20"/>
          <w:lang w:eastAsia="it-IT"/>
        </w:rPr>
        <w:t>c) gli interventi di ristrutturazione edilizia che portino ad un organismo edilizio in tutto o in parte diverso dal precedente, nei casi in cui comportino anche modifiche della volumetria complessiva degli edifici ovvero che, limitatamente agli immobili compresi nelle zone omogenee A, comportino mutamenti della destinazione d’uso, nonché gli interventi che comportino modificazioni della sagoma o della volumetria complessiva degli edifici o dei prospetti di immobili sottoposti a tutela ai sensi del </w:t>
      </w:r>
      <w:hyperlink r:id="rId15" w:history="1">
        <w:r w:rsidRPr="00217CA3">
          <w:rPr>
            <w:rFonts w:ascii="Tahoma" w:eastAsia="Times New Roman" w:hAnsi="Tahoma" w:cs="Times New Roman"/>
            <w:i/>
            <w:iCs/>
            <w:sz w:val="20"/>
            <w:szCs w:val="20"/>
            <w:u w:val="single"/>
            <w:lang w:eastAsia="it-IT"/>
          </w:rPr>
          <w:t>Codice dei beni culturali e del paesaggio di cui al decreto legislativo 22 gennaio 2004, n. 42</w:t>
        </w:r>
      </w:hyperlink>
      <w:r w:rsidRPr="00217CA3">
        <w:rPr>
          <w:rFonts w:ascii="Tahoma" w:eastAsia="Times New Roman" w:hAnsi="Tahoma" w:cs="Times New Roman"/>
          <w:i/>
          <w:iCs/>
          <w:sz w:val="20"/>
          <w:szCs w:val="20"/>
          <w:lang w:eastAsia="it-IT"/>
        </w:rPr>
        <w:t>.</w:t>
      </w:r>
      <w:r w:rsidRPr="00217CA3">
        <w:rPr>
          <w:rFonts w:ascii="Tahoma" w:eastAsia="Times New Roman" w:hAnsi="Tahoma" w:cs="Times New Roman"/>
          <w:sz w:val="20"/>
          <w:szCs w:val="20"/>
          <w:lang w:eastAsia="it-IT"/>
        </w:rPr>
        <w:t>”; </w:t>
      </w:r>
    </w:p>
    <w:p w:rsidR="00883ACB" w:rsidRPr="00217CA3" w:rsidRDefault="00883ACB" w:rsidP="00170FA6">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f) all’</w:t>
      </w:r>
      <w:hyperlink r:id="rId16" w:anchor="014" w:history="1">
        <w:r w:rsidRPr="00217CA3">
          <w:rPr>
            <w:rFonts w:ascii="Tahoma" w:eastAsia="Times New Roman" w:hAnsi="Tahoma" w:cs="Times New Roman"/>
            <w:sz w:val="20"/>
            <w:szCs w:val="20"/>
            <w:u w:val="single"/>
            <w:lang w:eastAsia="it-IT"/>
          </w:rPr>
          <w:t>articolo 14</w:t>
        </w:r>
      </w:hyperlink>
      <w:r w:rsidR="00170FA6" w:rsidRPr="00217CA3">
        <w:rPr>
          <w:rFonts w:ascii="Tahoma" w:eastAsia="Times New Roman" w:hAnsi="Tahoma" w:cs="Times New Roman"/>
          <w:sz w:val="20"/>
          <w:szCs w:val="20"/>
          <w:lang w:eastAsia="it-IT"/>
        </w:rPr>
        <w:t xml:space="preserve"> </w:t>
      </w:r>
      <w:r w:rsidR="00170FA6" w:rsidRPr="00217CA3">
        <w:rPr>
          <w:rStyle w:val="Rimandonotaapidipagina"/>
          <w:rFonts w:ascii="Tahoma" w:eastAsia="Times New Roman" w:hAnsi="Tahoma" w:cs="Times New Roman"/>
          <w:sz w:val="20"/>
          <w:szCs w:val="20"/>
          <w:lang w:eastAsia="it-IT"/>
        </w:rPr>
        <w:footnoteReference w:id="6"/>
      </w:r>
      <w:r w:rsidRPr="00217CA3">
        <w:rPr>
          <w:rFonts w:ascii="Tahoma" w:eastAsia="Times New Roman" w:hAnsi="Tahoma" w:cs="Times New Roman"/>
          <w:sz w:val="20"/>
          <w:szCs w:val="20"/>
          <w:lang w:eastAsia="it-IT"/>
        </w:rPr>
        <w:t>: </w:t>
      </w:r>
    </w:p>
    <w:p w:rsidR="00883ACB" w:rsidRPr="00217CA3" w:rsidRDefault="00883ACB" w:rsidP="00883ACB">
      <w:pPr>
        <w:shd w:val="clear" w:color="auto" w:fill="F5FDFE"/>
        <w:spacing w:beforeAutospacing="1"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lastRenderedPageBreak/>
        <w:t>1) il comma 1-bis è sostituito dal seguente:</w:t>
      </w:r>
      <w:r w:rsidRPr="00217CA3">
        <w:rPr>
          <w:rFonts w:ascii="Tahoma" w:eastAsia="Times New Roman" w:hAnsi="Tahoma" w:cs="Times New Roman"/>
          <w:i/>
          <w:iCs/>
          <w:sz w:val="20"/>
          <w:szCs w:val="20"/>
          <w:lang w:eastAsia="it-IT"/>
        </w:rPr>
        <w:t> «1-bis. La richiesta di permesso di costruire in deroga è ammessa anche per gli interventi di ristrutturazione edilizia, previa deliberazione del Consiglio comunale che ne attesta l’interesse pubblico, fermo restando, nel caso di insediamenti commerciali, quanto disposto dall’articolo 31, comma 2, del decreto-legge 6 dicembre 2011, n. 201, convertito, con modificazioni, dalla legge 22 dicembre 2011, n. 214.»</w:t>
      </w:r>
      <w:r w:rsidRPr="00217CA3">
        <w:rPr>
          <w:rFonts w:ascii="Tahoma" w:eastAsia="Times New Roman" w:hAnsi="Tahoma" w:cs="Times New Roman"/>
          <w:sz w:val="20"/>
          <w:szCs w:val="20"/>
          <w:lang w:eastAsia="it-IT"/>
        </w:rPr>
        <w:t>; </w:t>
      </w:r>
      <w:r w:rsidRPr="00217CA3">
        <w:rPr>
          <w:rFonts w:ascii="Tahoma" w:eastAsia="Times New Roman" w:hAnsi="Tahoma" w:cs="Times New Roman"/>
          <w:sz w:val="20"/>
          <w:szCs w:val="20"/>
          <w:lang w:eastAsia="it-IT"/>
        </w:rPr>
        <w:br/>
        <w:t>2) al comma 3, le parole </w:t>
      </w:r>
      <w:r w:rsidRPr="00217CA3">
        <w:rPr>
          <w:rFonts w:ascii="Tahoma" w:eastAsia="Times New Roman" w:hAnsi="Tahoma" w:cs="Times New Roman"/>
          <w:i/>
          <w:iCs/>
          <w:sz w:val="20"/>
          <w:szCs w:val="20"/>
          <w:lang w:eastAsia="it-IT"/>
        </w:rPr>
        <w:t>«nonché, nei casi di cui al comma 1-bis, le destinazioni d’uso»</w:t>
      </w:r>
      <w:r w:rsidRPr="00217CA3">
        <w:rPr>
          <w:rFonts w:ascii="Tahoma" w:eastAsia="Times New Roman" w:hAnsi="Tahoma" w:cs="Times New Roman"/>
          <w:sz w:val="20"/>
          <w:szCs w:val="20"/>
          <w:lang w:eastAsia="it-IT"/>
        </w:rPr>
        <w:t> sono sostituite dalle seguenti: </w:t>
      </w:r>
      <w:r w:rsidRPr="00217CA3">
        <w:rPr>
          <w:rFonts w:ascii="Tahoma" w:eastAsia="Times New Roman" w:hAnsi="Tahoma" w:cs="Times New Roman"/>
          <w:i/>
          <w:iCs/>
          <w:sz w:val="20"/>
          <w:szCs w:val="20"/>
          <w:lang w:eastAsia="it-IT"/>
        </w:rPr>
        <w:t>«nonché le destinazioni d’uso ammissibili»</w:t>
      </w:r>
      <w:r w:rsidRPr="00217CA3">
        <w:rPr>
          <w:rFonts w:ascii="Tahoma" w:eastAsia="Times New Roman" w:hAnsi="Tahoma" w:cs="Times New Roman"/>
          <w:sz w:val="20"/>
          <w:szCs w:val="20"/>
          <w:lang w:eastAsia="it-IT"/>
        </w:rPr>
        <w:t>; </w:t>
      </w:r>
    </w:p>
    <w:p w:rsidR="00170FA6"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t>g) all’</w:t>
      </w:r>
      <w:hyperlink r:id="rId17" w:anchor="016" w:history="1">
        <w:r w:rsidRPr="00217CA3">
          <w:rPr>
            <w:rFonts w:ascii="Tahoma" w:eastAsia="Times New Roman" w:hAnsi="Tahoma" w:cs="Times New Roman"/>
            <w:sz w:val="20"/>
            <w:szCs w:val="20"/>
            <w:u w:val="single"/>
            <w:lang w:eastAsia="it-IT"/>
          </w:rPr>
          <w:t>articolo 16, comma 4, lettera d-ter</w:t>
        </w:r>
        <w:r w:rsidR="00170FA6" w:rsidRPr="00217CA3">
          <w:rPr>
            <w:rStyle w:val="Rimandonotaapidipagina"/>
            <w:rFonts w:ascii="Tahoma" w:eastAsia="Times New Roman" w:hAnsi="Tahoma" w:cs="Times New Roman"/>
            <w:sz w:val="20"/>
            <w:szCs w:val="20"/>
            <w:u w:val="single"/>
            <w:lang w:eastAsia="it-IT"/>
          </w:rPr>
          <w:footnoteReference w:id="7"/>
        </w:r>
        <w:r w:rsidRPr="00217CA3">
          <w:rPr>
            <w:rFonts w:ascii="Tahoma" w:eastAsia="Times New Roman" w:hAnsi="Tahoma" w:cs="Times New Roman"/>
            <w:sz w:val="20"/>
            <w:szCs w:val="20"/>
            <w:u w:val="single"/>
            <w:lang w:eastAsia="it-IT"/>
          </w:rPr>
          <w:t>)</w:t>
        </w:r>
      </w:hyperlink>
      <w:r w:rsidR="00170FA6" w:rsidRPr="00217CA3">
        <w:rPr>
          <w:rFonts w:ascii="Tahoma" w:eastAsia="Times New Roman" w:hAnsi="Tahoma" w:cs="Times New Roman"/>
          <w:sz w:val="20"/>
          <w:szCs w:val="20"/>
          <w:lang w:eastAsia="it-IT"/>
        </w:rPr>
        <w:t xml:space="preserve"> </w:t>
      </w:r>
      <w:r w:rsidRPr="00217CA3">
        <w:rPr>
          <w:rFonts w:ascii="Tahoma" w:eastAsia="Times New Roman" w:hAnsi="Tahoma" w:cs="Times New Roman"/>
          <w:sz w:val="20"/>
          <w:szCs w:val="20"/>
          <w:lang w:eastAsia="it-IT"/>
        </w:rPr>
        <w:t>, le parole </w:t>
      </w:r>
      <w:r w:rsidRPr="00217CA3">
        <w:rPr>
          <w:rFonts w:ascii="Tahoma" w:eastAsia="Times New Roman" w:hAnsi="Tahoma" w:cs="Times New Roman"/>
          <w:i/>
          <w:iCs/>
          <w:sz w:val="20"/>
          <w:szCs w:val="20"/>
          <w:lang w:eastAsia="it-IT"/>
        </w:rPr>
        <w:t>«, in deroga o con cambio di destinazione d’uso»</w:t>
      </w:r>
      <w:r w:rsidRPr="00217CA3">
        <w:rPr>
          <w:rFonts w:ascii="Tahoma" w:eastAsia="Times New Roman" w:hAnsi="Tahoma" w:cs="Times New Roman"/>
          <w:sz w:val="20"/>
          <w:szCs w:val="20"/>
          <w:lang w:eastAsia="it-IT"/>
        </w:rPr>
        <w:t> sono sostituite dalle seguenti: </w:t>
      </w:r>
      <w:r w:rsidRPr="00217CA3">
        <w:rPr>
          <w:rFonts w:ascii="Tahoma" w:eastAsia="Times New Roman" w:hAnsi="Tahoma" w:cs="Times New Roman"/>
          <w:i/>
          <w:iCs/>
          <w:sz w:val="20"/>
          <w:szCs w:val="20"/>
          <w:lang w:eastAsia="it-IT"/>
        </w:rPr>
        <w:t>«o in deroga»</w:t>
      </w:r>
      <w:r w:rsidRPr="00217CA3">
        <w:rPr>
          <w:rFonts w:ascii="Tahoma" w:eastAsia="Times New Roman" w:hAnsi="Tahoma" w:cs="Times New Roman"/>
          <w:sz w:val="20"/>
          <w:szCs w:val="20"/>
          <w:lang w:eastAsia="it-IT"/>
        </w:rPr>
        <w:t>; </w:t>
      </w:r>
    </w:p>
    <w:p w:rsidR="0032068D"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t>h) all’</w:t>
      </w:r>
      <w:hyperlink r:id="rId18" w:anchor="017" w:history="1">
        <w:r w:rsidRPr="00217CA3">
          <w:rPr>
            <w:rFonts w:ascii="Tahoma" w:eastAsia="Times New Roman" w:hAnsi="Tahoma" w:cs="Times New Roman"/>
            <w:sz w:val="20"/>
            <w:szCs w:val="20"/>
            <w:u w:val="single"/>
            <w:lang w:eastAsia="it-IT"/>
          </w:rPr>
          <w:t>articolo 17</w:t>
        </w:r>
        <w:r w:rsidR="00170FA6" w:rsidRPr="00217CA3">
          <w:rPr>
            <w:rStyle w:val="Rimandonotaapidipagina"/>
            <w:rFonts w:ascii="Tahoma" w:eastAsia="Times New Roman" w:hAnsi="Tahoma" w:cs="Times New Roman"/>
            <w:sz w:val="20"/>
            <w:szCs w:val="20"/>
            <w:u w:val="single"/>
            <w:lang w:eastAsia="it-IT"/>
          </w:rPr>
          <w:footnoteReference w:id="8"/>
        </w:r>
        <w:r w:rsidRPr="00217CA3">
          <w:rPr>
            <w:rFonts w:ascii="Tahoma" w:eastAsia="Times New Roman" w:hAnsi="Tahoma" w:cs="Times New Roman"/>
            <w:sz w:val="20"/>
            <w:szCs w:val="20"/>
            <w:u w:val="single"/>
            <w:lang w:eastAsia="it-IT"/>
          </w:rPr>
          <w:t>, il comma 4-bis</w:t>
        </w:r>
      </w:hyperlink>
      <w:r w:rsidRPr="00217CA3">
        <w:rPr>
          <w:rFonts w:ascii="Tahoma" w:eastAsia="Times New Roman" w:hAnsi="Tahoma" w:cs="Times New Roman"/>
          <w:sz w:val="20"/>
          <w:szCs w:val="20"/>
          <w:lang w:eastAsia="it-IT"/>
        </w:rPr>
        <w:t> è sostituito dal seguente: </w:t>
      </w:r>
      <w:r w:rsidRPr="00217CA3">
        <w:rPr>
          <w:rFonts w:ascii="Tahoma" w:eastAsia="Times New Roman" w:hAnsi="Tahoma" w:cs="Times New Roman"/>
          <w:i/>
          <w:iCs/>
          <w:sz w:val="20"/>
          <w:szCs w:val="20"/>
          <w:lang w:eastAsia="it-IT"/>
        </w:rPr>
        <w:t xml:space="preserve">«4-bis. Al fine di agevolare gli interventi di rigenerazione urbana, di ristrutturazione, nonché di recupero e riuso degli immobili dismessi o in via di </w:t>
      </w:r>
      <w:r w:rsidRPr="00217CA3">
        <w:rPr>
          <w:rFonts w:ascii="Tahoma" w:eastAsia="Times New Roman" w:hAnsi="Tahoma" w:cs="Times New Roman"/>
          <w:i/>
          <w:iCs/>
          <w:sz w:val="20"/>
          <w:szCs w:val="20"/>
          <w:lang w:eastAsia="it-IT"/>
        </w:rPr>
        <w:lastRenderedPageBreak/>
        <w:t>dismissione, il contributo di costruzione è ridotto in misura non inferiore del 20 per cento rispetto a quello previsto dalle tabelle parametriche regionali. I comuni hanno la facoltà di deliberare ulteriori riduzioni del contributo di costruzione, fino alla completa esenzione dallo stesso.»</w:t>
      </w:r>
      <w:r w:rsidRPr="00217CA3">
        <w:rPr>
          <w:rFonts w:ascii="Tahoma" w:eastAsia="Times New Roman" w:hAnsi="Tahoma" w:cs="Times New Roman"/>
          <w:sz w:val="20"/>
          <w:szCs w:val="20"/>
          <w:lang w:eastAsia="it-IT"/>
        </w:rPr>
        <w:t>;</w:t>
      </w:r>
    </w:p>
    <w:p w:rsidR="0032068D"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t>i) all’</w:t>
      </w:r>
      <w:hyperlink r:id="rId19" w:anchor="020" w:history="1">
        <w:r w:rsidRPr="00217CA3">
          <w:rPr>
            <w:rFonts w:ascii="Tahoma" w:eastAsia="Times New Roman" w:hAnsi="Tahoma" w:cs="Times New Roman"/>
            <w:sz w:val="20"/>
            <w:szCs w:val="20"/>
            <w:u w:val="single"/>
            <w:lang w:eastAsia="it-IT"/>
          </w:rPr>
          <w:t>articolo 20</w:t>
        </w:r>
        <w:r w:rsidR="0032068D" w:rsidRPr="00217CA3">
          <w:rPr>
            <w:rFonts w:ascii="Tahoma" w:eastAsia="Times New Roman" w:hAnsi="Tahoma" w:cs="Times New Roman"/>
            <w:sz w:val="20"/>
            <w:szCs w:val="20"/>
            <w:u w:val="single"/>
            <w:lang w:eastAsia="it-IT"/>
          </w:rPr>
          <w:t xml:space="preserve"> </w:t>
        </w:r>
        <w:r w:rsidR="0032068D" w:rsidRPr="00217CA3">
          <w:rPr>
            <w:rStyle w:val="Rimandonotaapidipagina"/>
            <w:rFonts w:ascii="Tahoma" w:eastAsia="Times New Roman" w:hAnsi="Tahoma" w:cs="Times New Roman"/>
            <w:sz w:val="20"/>
            <w:szCs w:val="20"/>
            <w:u w:val="single"/>
            <w:lang w:eastAsia="it-IT"/>
          </w:rPr>
          <w:footnoteReference w:id="9"/>
        </w:r>
        <w:r w:rsidRPr="00217CA3">
          <w:rPr>
            <w:rFonts w:ascii="Tahoma" w:eastAsia="Times New Roman" w:hAnsi="Tahoma" w:cs="Times New Roman"/>
            <w:sz w:val="20"/>
            <w:szCs w:val="20"/>
            <w:u w:val="single"/>
            <w:lang w:eastAsia="it-IT"/>
          </w:rPr>
          <w:t>, comma 8</w:t>
        </w:r>
      </w:hyperlink>
      <w:r w:rsidRPr="00217CA3">
        <w:rPr>
          <w:rFonts w:ascii="Tahoma" w:eastAsia="Times New Roman" w:hAnsi="Tahoma" w:cs="Times New Roman"/>
          <w:sz w:val="20"/>
          <w:szCs w:val="20"/>
          <w:lang w:eastAsia="it-IT"/>
        </w:rPr>
        <w:t xml:space="preserve">, dopo il primo periodo, è aggiunto, in fine, il seguente: «Fermi restando gli effetti comunque prodotti dal silenzio, lo sportello unico per l’edilizia rilascia anche in via telematica, entro </w:t>
      </w:r>
      <w:r w:rsidRPr="00217CA3">
        <w:rPr>
          <w:rFonts w:ascii="Tahoma" w:eastAsia="Times New Roman" w:hAnsi="Tahoma" w:cs="Times New Roman"/>
          <w:sz w:val="20"/>
          <w:szCs w:val="20"/>
          <w:lang w:eastAsia="it-IT"/>
        </w:rPr>
        <w:lastRenderedPageBreak/>
        <w:t>quindici giorni dalla richiesta dell’interessato, un’attestazione circa il decorso dei termini del procedimento, in assenza di richieste di integrazione documentale o istruttorie inevase e di provvedimenti di diniego; altrimenti, nello stesso termine, comunica all’interessato che tali atti sono intervenuti.»;</w:t>
      </w:r>
    </w:p>
    <w:p w:rsidR="0032068D"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br/>
        <w:t>l) all’</w:t>
      </w:r>
      <w:hyperlink r:id="rId20" w:anchor="022" w:history="1">
        <w:r w:rsidRPr="00217CA3">
          <w:rPr>
            <w:rFonts w:ascii="Tahoma" w:eastAsia="Times New Roman" w:hAnsi="Tahoma" w:cs="Times New Roman"/>
            <w:sz w:val="20"/>
            <w:szCs w:val="20"/>
            <w:u w:val="single"/>
            <w:lang w:eastAsia="it-IT"/>
          </w:rPr>
          <w:t>articolo 22</w:t>
        </w:r>
        <w:r w:rsidR="0032068D" w:rsidRPr="00217CA3">
          <w:rPr>
            <w:rFonts w:ascii="Tahoma" w:eastAsia="Times New Roman" w:hAnsi="Tahoma" w:cs="Times New Roman"/>
            <w:sz w:val="20"/>
            <w:szCs w:val="20"/>
            <w:u w:val="single"/>
            <w:lang w:eastAsia="it-IT"/>
          </w:rPr>
          <w:t xml:space="preserve"> </w:t>
        </w:r>
        <w:r w:rsidRPr="00217CA3">
          <w:rPr>
            <w:rFonts w:ascii="Tahoma" w:eastAsia="Times New Roman" w:hAnsi="Tahoma" w:cs="Times New Roman"/>
            <w:sz w:val="20"/>
            <w:szCs w:val="20"/>
            <w:u w:val="single"/>
            <w:lang w:eastAsia="it-IT"/>
          </w:rPr>
          <w:t>, comma 1</w:t>
        </w:r>
        <w:r w:rsidR="0032068D" w:rsidRPr="00217CA3">
          <w:rPr>
            <w:rFonts w:ascii="Tahoma" w:eastAsia="Times New Roman" w:hAnsi="Tahoma" w:cs="Times New Roman"/>
            <w:sz w:val="20"/>
            <w:szCs w:val="20"/>
            <w:u w:val="single"/>
            <w:lang w:eastAsia="it-IT"/>
          </w:rPr>
          <w:t xml:space="preserve"> </w:t>
        </w:r>
        <w:r w:rsidR="0032068D" w:rsidRPr="00217CA3">
          <w:rPr>
            <w:rStyle w:val="Rimandonotaapidipagina"/>
            <w:rFonts w:ascii="Tahoma" w:eastAsia="Times New Roman" w:hAnsi="Tahoma" w:cs="Times New Roman"/>
            <w:sz w:val="20"/>
            <w:szCs w:val="20"/>
            <w:u w:val="single"/>
            <w:lang w:eastAsia="it-IT"/>
          </w:rPr>
          <w:footnoteReference w:id="10"/>
        </w:r>
        <w:r w:rsidRPr="00217CA3">
          <w:rPr>
            <w:rFonts w:ascii="Tahoma" w:eastAsia="Times New Roman" w:hAnsi="Tahoma" w:cs="Times New Roman"/>
            <w:sz w:val="20"/>
            <w:szCs w:val="20"/>
            <w:u w:val="single"/>
            <w:lang w:eastAsia="it-IT"/>
          </w:rPr>
          <w:t>, lettera a)</w:t>
        </w:r>
      </w:hyperlink>
      <w:r w:rsidRPr="00217CA3">
        <w:rPr>
          <w:rFonts w:ascii="Tahoma" w:eastAsia="Times New Roman" w:hAnsi="Tahoma" w:cs="Times New Roman"/>
          <w:sz w:val="20"/>
          <w:szCs w:val="20"/>
          <w:lang w:eastAsia="it-IT"/>
        </w:rPr>
        <w:t>, dopo le parole «parti strutturali dell’edificio», sono inserite le seguenti «o i prospetti»; </w:t>
      </w:r>
    </w:p>
    <w:p w:rsidR="0032068D"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lastRenderedPageBreak/>
        <w:br/>
        <w:t>m) all’</w:t>
      </w:r>
      <w:hyperlink r:id="rId21" w:anchor="023-ter" w:history="1">
        <w:r w:rsidRPr="00217CA3">
          <w:rPr>
            <w:rFonts w:ascii="Tahoma" w:eastAsia="Times New Roman" w:hAnsi="Tahoma" w:cs="Times New Roman"/>
            <w:sz w:val="20"/>
            <w:szCs w:val="20"/>
            <w:u w:val="single"/>
            <w:lang w:eastAsia="it-IT"/>
          </w:rPr>
          <w:t>articolo 23-ter</w:t>
        </w:r>
      </w:hyperlink>
      <w:r w:rsidR="00C653AE" w:rsidRPr="00217CA3">
        <w:rPr>
          <w:rFonts w:ascii="Tahoma" w:eastAsia="Times New Roman" w:hAnsi="Tahoma" w:cs="Times New Roman"/>
          <w:sz w:val="20"/>
          <w:szCs w:val="20"/>
          <w:lang w:eastAsia="it-IT"/>
        </w:rPr>
        <w:t xml:space="preserve"> </w:t>
      </w:r>
      <w:r w:rsidR="00C653AE" w:rsidRPr="00217CA3">
        <w:rPr>
          <w:rStyle w:val="Rimandonotaapidipagina"/>
          <w:rFonts w:ascii="Tahoma" w:eastAsia="Times New Roman" w:hAnsi="Tahoma" w:cs="Times New Roman"/>
          <w:sz w:val="20"/>
          <w:szCs w:val="20"/>
          <w:lang w:eastAsia="it-IT"/>
        </w:rPr>
        <w:footnoteReference w:id="11"/>
      </w:r>
      <w:r w:rsidRPr="00217CA3">
        <w:rPr>
          <w:rFonts w:ascii="Tahoma" w:eastAsia="Times New Roman" w:hAnsi="Tahoma" w:cs="Times New Roman"/>
          <w:sz w:val="20"/>
          <w:szCs w:val="20"/>
          <w:lang w:eastAsia="it-IT"/>
        </w:rPr>
        <w:t>, il comma 2 è sostituito dal seguente: </w:t>
      </w:r>
      <w:r w:rsidRPr="00217CA3">
        <w:rPr>
          <w:rFonts w:ascii="Tahoma" w:eastAsia="Times New Roman" w:hAnsi="Tahoma" w:cs="Times New Roman"/>
          <w:i/>
          <w:iCs/>
          <w:sz w:val="20"/>
          <w:szCs w:val="20"/>
          <w:lang w:eastAsia="it-IT"/>
        </w:rPr>
        <w:t>«2. La destinazione d’uso dell’immobile o dell’unità immobiliare è quella stabilita dalla documentazione di cui all’articolo 9-bis, comma 1-bis.»</w:t>
      </w:r>
      <w:r w:rsidRPr="00217CA3">
        <w:rPr>
          <w:rFonts w:ascii="Tahoma" w:eastAsia="Times New Roman" w:hAnsi="Tahoma" w:cs="Times New Roman"/>
          <w:sz w:val="20"/>
          <w:szCs w:val="20"/>
          <w:lang w:eastAsia="it-IT"/>
        </w:rPr>
        <w:t>;</w:t>
      </w:r>
    </w:p>
    <w:p w:rsidR="0032068D"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br/>
        <w:t>n) all’</w:t>
      </w:r>
      <w:hyperlink r:id="rId22" w:anchor="024" w:history="1">
        <w:r w:rsidRPr="00217CA3">
          <w:rPr>
            <w:rFonts w:ascii="Tahoma" w:eastAsia="Times New Roman" w:hAnsi="Tahoma" w:cs="Times New Roman"/>
            <w:sz w:val="20"/>
            <w:szCs w:val="20"/>
            <w:u w:val="single"/>
            <w:lang w:eastAsia="it-IT"/>
          </w:rPr>
          <w:t>articolo 24, dopo il comma 7</w:t>
        </w:r>
      </w:hyperlink>
      <w:r w:rsidR="00C653AE" w:rsidRPr="00217CA3">
        <w:rPr>
          <w:rStyle w:val="Rimandonotaapidipagina"/>
          <w:rFonts w:ascii="Tahoma" w:eastAsia="Times New Roman" w:hAnsi="Tahoma" w:cs="Times New Roman"/>
          <w:sz w:val="20"/>
          <w:szCs w:val="20"/>
          <w:lang w:eastAsia="it-IT"/>
        </w:rPr>
        <w:footnoteReference w:id="12"/>
      </w:r>
      <w:r w:rsidRPr="00217CA3">
        <w:rPr>
          <w:rFonts w:ascii="Tahoma" w:eastAsia="Times New Roman" w:hAnsi="Tahoma" w:cs="Times New Roman"/>
          <w:sz w:val="20"/>
          <w:szCs w:val="20"/>
          <w:lang w:eastAsia="it-IT"/>
        </w:rPr>
        <w:t> è aggiunto il seguente: </w:t>
      </w:r>
      <w:r w:rsidRPr="00217CA3">
        <w:rPr>
          <w:rFonts w:ascii="Tahoma" w:eastAsia="Times New Roman" w:hAnsi="Tahoma" w:cs="Times New Roman"/>
          <w:i/>
          <w:iCs/>
          <w:sz w:val="20"/>
          <w:szCs w:val="20"/>
          <w:lang w:eastAsia="it-IT"/>
        </w:rPr>
        <w:t xml:space="preserve">«7-bis. La segnalazione certificata può altresì </w:t>
      </w:r>
      <w:r w:rsidRPr="00217CA3">
        <w:rPr>
          <w:rFonts w:ascii="Tahoma" w:eastAsia="Times New Roman" w:hAnsi="Tahoma" w:cs="Times New Roman"/>
          <w:i/>
          <w:iCs/>
          <w:sz w:val="20"/>
          <w:szCs w:val="20"/>
          <w:lang w:eastAsia="it-IT"/>
        </w:rPr>
        <w:lastRenderedPageBreak/>
        <w:t>essere presentata, in assenza di lavori, per gli immobili legittimamente realizzati privi di agibilità che presentano i requisiti definiti con decreto del Ministro delle infrastrutture e dei trasporti, di concerto con il Ministro della salute, con il Ministro per i beni e le attività culturali e per il turismo e con il Ministro per la pubblica amministrazione, da adottarsi, previa intesa in Conferenza unificata di cui all’articolo 8 del decreto legislativo 28 agosto 1997, n. 281, entro novanta giorni dalla data di entrata in vigore della presente disposizione.»</w:t>
      </w:r>
      <w:r w:rsidRPr="00217CA3">
        <w:rPr>
          <w:rFonts w:ascii="Tahoma" w:eastAsia="Times New Roman" w:hAnsi="Tahoma" w:cs="Times New Roman"/>
          <w:sz w:val="20"/>
          <w:szCs w:val="20"/>
          <w:lang w:eastAsia="it-IT"/>
        </w:rPr>
        <w:t>; </w:t>
      </w:r>
    </w:p>
    <w:p w:rsidR="0032068D"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br/>
        <w:t>o) all’</w:t>
      </w:r>
      <w:hyperlink r:id="rId23" w:anchor="034" w:history="1">
        <w:r w:rsidRPr="00217CA3">
          <w:rPr>
            <w:rFonts w:ascii="Tahoma" w:eastAsia="Times New Roman" w:hAnsi="Tahoma" w:cs="Times New Roman"/>
            <w:sz w:val="20"/>
            <w:szCs w:val="20"/>
            <w:u w:val="single"/>
            <w:lang w:eastAsia="it-IT"/>
          </w:rPr>
          <w:t>articolo 34</w:t>
        </w:r>
        <w:r w:rsidR="00C653AE" w:rsidRPr="00217CA3">
          <w:rPr>
            <w:rStyle w:val="Rimandonotaapidipagina"/>
            <w:rFonts w:ascii="Tahoma" w:eastAsia="Times New Roman" w:hAnsi="Tahoma" w:cs="Times New Roman"/>
            <w:sz w:val="20"/>
            <w:szCs w:val="20"/>
            <w:u w:val="single"/>
            <w:lang w:eastAsia="it-IT"/>
          </w:rPr>
          <w:footnoteReference w:id="13"/>
        </w:r>
        <w:r w:rsidRPr="00217CA3">
          <w:rPr>
            <w:rFonts w:ascii="Tahoma" w:eastAsia="Times New Roman" w:hAnsi="Tahoma" w:cs="Times New Roman"/>
            <w:sz w:val="20"/>
            <w:szCs w:val="20"/>
            <w:u w:val="single"/>
            <w:lang w:eastAsia="it-IT"/>
          </w:rPr>
          <w:t>, il comma 2-ter</w:t>
        </w:r>
      </w:hyperlink>
      <w:r w:rsidRPr="00217CA3">
        <w:rPr>
          <w:rFonts w:ascii="Tahoma" w:eastAsia="Times New Roman" w:hAnsi="Tahoma" w:cs="Times New Roman"/>
          <w:sz w:val="20"/>
          <w:szCs w:val="20"/>
          <w:lang w:eastAsia="it-IT"/>
        </w:rPr>
        <w:t> è abrogato; </w:t>
      </w:r>
    </w:p>
    <w:p w:rsidR="00883ACB" w:rsidRPr="00217CA3" w:rsidRDefault="00883ACB" w:rsidP="00170FA6">
      <w:pPr>
        <w:shd w:val="clear" w:color="auto" w:fill="F5FDFE"/>
        <w:spacing w:before="100" w:beforeAutospacing="1" w:afterAutospacing="1"/>
        <w:rPr>
          <w:rFonts w:ascii="Tahoma" w:eastAsia="Times New Roman" w:hAnsi="Tahoma" w:cs="Times New Roman"/>
          <w:sz w:val="20"/>
          <w:szCs w:val="20"/>
          <w:lang w:eastAsia="it-IT"/>
        </w:rPr>
      </w:pPr>
      <w:r w:rsidRPr="00217CA3">
        <w:rPr>
          <w:rFonts w:ascii="Tahoma" w:eastAsia="Times New Roman" w:hAnsi="Tahoma" w:cs="Times New Roman"/>
          <w:sz w:val="20"/>
          <w:szCs w:val="20"/>
          <w:lang w:eastAsia="it-IT"/>
        </w:rPr>
        <w:br/>
        <w:t xml:space="preserve">p) dopo l’articolo 34 </w:t>
      </w:r>
      <w:r w:rsidR="00C653AE" w:rsidRPr="00217CA3">
        <w:rPr>
          <w:rStyle w:val="Rimandonotaapidipagina"/>
          <w:rFonts w:ascii="Tahoma" w:eastAsia="Times New Roman" w:hAnsi="Tahoma" w:cs="Times New Roman"/>
          <w:sz w:val="20"/>
          <w:szCs w:val="20"/>
          <w:lang w:eastAsia="it-IT"/>
        </w:rPr>
        <w:footnoteReference w:id="14"/>
      </w:r>
      <w:r w:rsidR="003F1855" w:rsidRPr="00217CA3">
        <w:rPr>
          <w:rFonts w:ascii="Tahoma" w:eastAsia="Times New Roman" w:hAnsi="Tahoma" w:cs="Times New Roman"/>
          <w:sz w:val="20"/>
          <w:szCs w:val="20"/>
          <w:lang w:eastAsia="it-IT"/>
        </w:rPr>
        <w:t xml:space="preserve"> </w:t>
      </w:r>
      <w:r w:rsidRPr="00217CA3">
        <w:rPr>
          <w:rFonts w:ascii="Tahoma" w:eastAsia="Times New Roman" w:hAnsi="Tahoma" w:cs="Times New Roman"/>
          <w:sz w:val="20"/>
          <w:szCs w:val="20"/>
          <w:lang w:eastAsia="it-IT"/>
        </w:rPr>
        <w:t>è inserito il seguente: </w:t>
      </w:r>
      <w:r w:rsidRPr="00217CA3">
        <w:rPr>
          <w:rFonts w:ascii="Tahoma" w:eastAsia="Times New Roman" w:hAnsi="Tahoma" w:cs="Times New Roman"/>
          <w:i/>
          <w:iCs/>
          <w:sz w:val="20"/>
          <w:szCs w:val="20"/>
          <w:lang w:eastAsia="it-IT"/>
        </w:rPr>
        <w:t xml:space="preserve">«Art. 34-bis </w:t>
      </w:r>
      <w:r w:rsidRPr="00217CA3">
        <w:rPr>
          <w:rFonts w:ascii="Tahoma" w:eastAsia="Times New Roman" w:hAnsi="Tahoma" w:cs="Times New Roman"/>
          <w:b/>
          <w:i/>
          <w:iCs/>
          <w:sz w:val="20"/>
          <w:szCs w:val="20"/>
          <w:lang w:eastAsia="it-IT"/>
        </w:rPr>
        <w:t>(Tolleranze costruttive)</w:t>
      </w:r>
      <w:r w:rsidRPr="00217CA3">
        <w:rPr>
          <w:rFonts w:ascii="Tahoma" w:eastAsia="Times New Roman" w:hAnsi="Tahoma" w:cs="Times New Roman"/>
          <w:i/>
          <w:iCs/>
          <w:sz w:val="20"/>
          <w:szCs w:val="20"/>
          <w:lang w:eastAsia="it-IT"/>
        </w:rPr>
        <w:t xml:space="preserve"> 1. Il mancato rispetto </w:t>
      </w:r>
      <w:r w:rsidRPr="00217CA3">
        <w:rPr>
          <w:rFonts w:ascii="Tahoma" w:eastAsia="Times New Roman" w:hAnsi="Tahoma" w:cs="Times New Roman"/>
          <w:i/>
          <w:iCs/>
          <w:sz w:val="20"/>
          <w:szCs w:val="20"/>
          <w:lang w:eastAsia="it-IT"/>
        </w:rPr>
        <w:lastRenderedPageBreak/>
        <w:t>dell’altezza, dei distacchi, della cubatura, della superficie coperta e di ogni altro parametro delle singole unità immobiliari non costituisce violazione edilizia se contenuto entro il limite del 2 per cento delle misure previste nel titolo abilitativo. 2. Fuori dai casi di cui al comma 1, limitatamente agli immobili non sottoposti a tutela ai sensi del decreto legislativo 22 gennaio 2004, n. 42, costituiscono inoltre tolleranze esecutive le irregolarità geometriche e le modifiche alle finiture degli edifici di minima entità, nonché la diversa collocazione di impianti e opere interne, eseguite durante i lavori per l’attuazione di titoli abilitativi edilizi, a condizione che non comportino violazione della disciplina urbanistica ed edilizia e non pregiudichino l’agibilità dell’immobile. 3. Le tolleranze esecutive di cui ai commi 1 e 2 realizzate nel corso di precedenti interventi edilizi, non costituendo violazioni edilizie, sono dichiarate dal tecnico abilitato, ai fini dell’attestazione dello stato legittimo degli immobili, nella modulistica relativa a nuove istanze, comunicazioni e segnalazioni edilizie ovvero, con apposita dichiarazione asseverata allegata agli atti aventi per oggetto trasferimento o costituzione, ovvero scioglimento della comunione, di diritti reali.». </w:t>
      </w:r>
    </w:p>
    <w:p w:rsidR="00883ACB" w:rsidRPr="00217CA3" w:rsidRDefault="00883ACB" w:rsidP="003F1855">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b/>
          <w:sz w:val="28"/>
          <w:szCs w:val="28"/>
          <w:lang w:eastAsia="it-IT"/>
        </w:rPr>
        <w:t>2.</w:t>
      </w:r>
      <w:r w:rsidRPr="00217CA3">
        <w:rPr>
          <w:rFonts w:ascii="Tahoma" w:eastAsia="Times New Roman" w:hAnsi="Tahoma" w:cs="Times New Roman"/>
          <w:sz w:val="20"/>
          <w:szCs w:val="20"/>
          <w:lang w:eastAsia="it-IT"/>
        </w:rPr>
        <w:t xml:space="preserve"> Nelle more dell’approvazione del decreto del Ministro della salute di cui all’</w:t>
      </w:r>
      <w:hyperlink r:id="rId24" w:anchor="020" w:history="1">
        <w:r w:rsidRPr="00217CA3">
          <w:rPr>
            <w:rFonts w:ascii="Tahoma" w:eastAsia="Times New Roman" w:hAnsi="Tahoma" w:cs="Times New Roman"/>
            <w:sz w:val="20"/>
            <w:szCs w:val="20"/>
            <w:u w:val="single"/>
            <w:lang w:eastAsia="it-IT"/>
          </w:rPr>
          <w:t>articolo 20, comma 1-bis, del decreto del Presidente della Repubblica 6 giugno 2001, n. 380</w:t>
        </w:r>
      </w:hyperlink>
      <w:r w:rsidRPr="00217CA3">
        <w:rPr>
          <w:rFonts w:ascii="Tahoma" w:eastAsia="Times New Roman" w:hAnsi="Tahoma" w:cs="Times New Roman"/>
          <w:sz w:val="20"/>
          <w:szCs w:val="20"/>
          <w:lang w:eastAsia="it-IT"/>
        </w:rPr>
        <w:t>, le disposizioni di cui al </w:t>
      </w:r>
      <w:hyperlink r:id="rId25" w:history="1">
        <w:r w:rsidRPr="00217CA3">
          <w:rPr>
            <w:rFonts w:ascii="Tahoma" w:eastAsia="Times New Roman" w:hAnsi="Tahoma" w:cs="Times New Roman"/>
            <w:sz w:val="20"/>
            <w:szCs w:val="20"/>
            <w:u w:val="single"/>
            <w:lang w:eastAsia="it-IT"/>
          </w:rPr>
          <w:t>decreto del Ministro per la sanità 5 luglio 1975</w:t>
        </w:r>
      </w:hyperlink>
      <w:r w:rsidRPr="00217CA3">
        <w:rPr>
          <w:rFonts w:ascii="Tahoma" w:eastAsia="Times New Roman" w:hAnsi="Tahoma" w:cs="Times New Roman"/>
          <w:sz w:val="20"/>
          <w:szCs w:val="20"/>
          <w:lang w:eastAsia="it-IT"/>
        </w:rPr>
        <w:t>, pubblicato sulla Gazzetta Ufficiale n. 190 del 18 luglio 1975, si interpretano nel senso che i requisiti relativi all’altezza minima e i requisiti igienico sanitari dei locali di abitazione ivi previsti non si considerano riferiti agli immobili che siano stati realizzati prima della data di entrata in vigore del medesimo decreto e che siano ubicati nelle </w:t>
      </w:r>
      <w:hyperlink r:id="rId26" w:history="1">
        <w:r w:rsidRPr="00217CA3">
          <w:rPr>
            <w:rFonts w:ascii="Tahoma" w:eastAsia="Times New Roman" w:hAnsi="Tahoma" w:cs="Times New Roman"/>
            <w:b/>
            <w:sz w:val="20"/>
            <w:szCs w:val="20"/>
            <w:u w:val="single"/>
            <w:lang w:eastAsia="it-IT"/>
          </w:rPr>
          <w:t>zone A o B, di cui al decreto ministeriale 2 aprile 1968, n. 1444</w:t>
        </w:r>
      </w:hyperlink>
      <w:r w:rsidRPr="00217CA3">
        <w:rPr>
          <w:rFonts w:ascii="Tahoma" w:eastAsia="Times New Roman" w:hAnsi="Tahoma" w:cs="Times New Roman"/>
          <w:b/>
          <w:sz w:val="20"/>
          <w:szCs w:val="20"/>
          <w:lang w:eastAsia="it-IT"/>
        </w:rPr>
        <w:t>,</w:t>
      </w:r>
      <w:r w:rsidRPr="00217CA3">
        <w:rPr>
          <w:rFonts w:ascii="Tahoma" w:eastAsia="Times New Roman" w:hAnsi="Tahoma" w:cs="Times New Roman"/>
          <w:sz w:val="20"/>
          <w:szCs w:val="20"/>
          <w:lang w:eastAsia="it-IT"/>
        </w:rPr>
        <w:t xml:space="preserve"> o in zone a queste assimilabili, in base alla normativa regionale e ai piani urbanistici comunali. Ai fini della presentazione e rilascio dei titoli abilitativi per il recupero e la qualificazione edilizia dei medesimi immobili e della segnalazione certificata della loro agibilità, si fa riferimento alle dimensioni legittimamente preesistenti. </w:t>
      </w:r>
    </w:p>
    <w:p w:rsidR="00883ACB" w:rsidRPr="00217CA3" w:rsidRDefault="00883ACB" w:rsidP="003F1855">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b/>
          <w:sz w:val="28"/>
          <w:szCs w:val="28"/>
          <w:lang w:eastAsia="it-IT"/>
        </w:rPr>
        <w:t>3.</w:t>
      </w:r>
      <w:r w:rsidRPr="00217CA3">
        <w:rPr>
          <w:rFonts w:ascii="Tahoma" w:eastAsia="Times New Roman" w:hAnsi="Tahoma" w:cs="Times New Roman"/>
          <w:sz w:val="20"/>
          <w:szCs w:val="20"/>
          <w:lang w:eastAsia="it-IT"/>
        </w:rPr>
        <w:t xml:space="preserve"> Ciascun partecipante alla comunione o al condominio può realizzare a proprie spese ogni opera di cui agli </w:t>
      </w:r>
      <w:hyperlink r:id="rId27" w:anchor="02" w:history="1">
        <w:r w:rsidRPr="00217CA3">
          <w:rPr>
            <w:rFonts w:ascii="Tahoma" w:eastAsia="Times New Roman" w:hAnsi="Tahoma" w:cs="Times New Roman"/>
            <w:sz w:val="20"/>
            <w:szCs w:val="20"/>
            <w:u w:val="single"/>
            <w:lang w:eastAsia="it-IT"/>
          </w:rPr>
          <w:t>articoli 2 della legge 9 gennaio 1989, n. 13</w:t>
        </w:r>
      </w:hyperlink>
      <w:r w:rsidR="003F1855" w:rsidRPr="00217CA3">
        <w:rPr>
          <w:rFonts w:ascii="Tahoma" w:eastAsia="Times New Roman" w:hAnsi="Tahoma" w:cs="Times New Roman"/>
          <w:sz w:val="20"/>
          <w:szCs w:val="20"/>
          <w:lang w:eastAsia="it-IT"/>
        </w:rPr>
        <w:t xml:space="preserve"> </w:t>
      </w:r>
      <w:r w:rsidR="003F1855" w:rsidRPr="00217CA3">
        <w:rPr>
          <w:rFonts w:ascii="Tahoma" w:eastAsia="Times New Roman" w:hAnsi="Tahoma" w:cs="Times New Roman"/>
          <w:b/>
          <w:sz w:val="20"/>
          <w:szCs w:val="20"/>
          <w:lang w:eastAsia="it-IT"/>
        </w:rPr>
        <w:t>[barriere architettoniche]</w:t>
      </w:r>
      <w:r w:rsidRPr="00217CA3">
        <w:rPr>
          <w:rFonts w:ascii="Tahoma" w:eastAsia="Times New Roman" w:hAnsi="Tahoma" w:cs="Times New Roman"/>
          <w:sz w:val="20"/>
          <w:szCs w:val="20"/>
          <w:lang w:eastAsia="it-IT"/>
        </w:rPr>
        <w:t xml:space="preserve"> e 119 del decreto-legge 19 maggio 2020, n. 34, anche servendosi della cosa comune nel rispetto dei limiti di cui all’</w:t>
      </w:r>
      <w:hyperlink r:id="rId28" w:anchor="1102" w:history="1">
        <w:r w:rsidRPr="00217CA3">
          <w:rPr>
            <w:rFonts w:ascii="Tahoma" w:eastAsia="Times New Roman" w:hAnsi="Tahoma" w:cs="Times New Roman"/>
            <w:sz w:val="20"/>
            <w:szCs w:val="20"/>
            <w:u w:val="single"/>
            <w:lang w:eastAsia="it-IT"/>
          </w:rPr>
          <w:t>articolo 1102 del codice civile</w:t>
        </w:r>
      </w:hyperlink>
      <w:r w:rsidRPr="00217CA3">
        <w:rPr>
          <w:rFonts w:ascii="Tahoma" w:eastAsia="Times New Roman" w:hAnsi="Tahoma" w:cs="Times New Roman"/>
          <w:sz w:val="20"/>
          <w:szCs w:val="20"/>
          <w:lang w:eastAsia="it-IT"/>
        </w:rPr>
        <w:t>. Alla </w:t>
      </w:r>
      <w:hyperlink r:id="rId29" w:history="1">
        <w:r w:rsidRPr="00217CA3">
          <w:rPr>
            <w:rFonts w:ascii="Tahoma" w:eastAsia="Times New Roman" w:hAnsi="Tahoma" w:cs="Times New Roman"/>
            <w:sz w:val="20"/>
            <w:szCs w:val="20"/>
            <w:u w:val="single"/>
            <w:lang w:eastAsia="it-IT"/>
          </w:rPr>
          <w:t>legge n. 13 del 1989</w:t>
        </w:r>
      </w:hyperlink>
      <w:r w:rsidRPr="00217CA3">
        <w:rPr>
          <w:rFonts w:ascii="Tahoma" w:eastAsia="Times New Roman" w:hAnsi="Tahoma" w:cs="Times New Roman"/>
          <w:sz w:val="20"/>
          <w:szCs w:val="20"/>
          <w:lang w:eastAsia="it-IT"/>
        </w:rPr>
        <w:t> sono apportate le seguenti modificazioni: </w:t>
      </w:r>
    </w:p>
    <w:p w:rsidR="00883ACB" w:rsidRPr="00217CA3" w:rsidRDefault="00883ACB" w:rsidP="003F1855">
      <w:pPr>
        <w:shd w:val="clear" w:color="auto" w:fill="F5FDFE"/>
        <w:spacing w:beforeAutospacing="1"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a) all’articolo 2, comma 1, sono aggiunti, in fine, i seguenti periodi: </w:t>
      </w:r>
      <w:r w:rsidRPr="00217CA3">
        <w:rPr>
          <w:rFonts w:ascii="Tahoma" w:eastAsia="Times New Roman" w:hAnsi="Tahoma" w:cs="Times New Roman"/>
          <w:i/>
          <w:iCs/>
          <w:sz w:val="20"/>
          <w:szCs w:val="20"/>
          <w:lang w:eastAsia="it-IT"/>
        </w:rPr>
        <w:t>«Le innovazioni di cui al presente comma non sono considerate in alcun caso di carattere voluttuario ai sensi dell’</w:t>
      </w:r>
      <w:hyperlink r:id="rId30" w:anchor="1121" w:history="1">
        <w:r w:rsidRPr="00217CA3">
          <w:rPr>
            <w:rFonts w:ascii="Tahoma" w:eastAsia="Times New Roman" w:hAnsi="Tahoma" w:cs="Times New Roman"/>
            <w:i/>
            <w:iCs/>
            <w:sz w:val="20"/>
            <w:szCs w:val="20"/>
            <w:u w:val="single"/>
            <w:lang w:eastAsia="it-IT"/>
          </w:rPr>
          <w:t>articolo 1121, primo comma, del codice civile</w:t>
        </w:r>
      </w:hyperlink>
      <w:r w:rsidRPr="00217CA3">
        <w:rPr>
          <w:rFonts w:ascii="Tahoma" w:eastAsia="Times New Roman" w:hAnsi="Tahoma" w:cs="Times New Roman"/>
          <w:i/>
          <w:iCs/>
          <w:sz w:val="20"/>
          <w:szCs w:val="20"/>
          <w:lang w:eastAsia="it-IT"/>
        </w:rPr>
        <w:t>. Per la loro realizzazione resta fermo unicamente il divieto di innovazioni che possano recare pregiudizio alla stabilità o alla sicurezza del fabbricato, di cui al quarto comma dell’</w:t>
      </w:r>
      <w:hyperlink r:id="rId31" w:anchor="1120" w:history="1">
        <w:r w:rsidRPr="00217CA3">
          <w:rPr>
            <w:rFonts w:ascii="Tahoma" w:eastAsia="Times New Roman" w:hAnsi="Tahoma" w:cs="Times New Roman"/>
            <w:i/>
            <w:iCs/>
            <w:sz w:val="20"/>
            <w:szCs w:val="20"/>
            <w:u w:val="single"/>
            <w:lang w:eastAsia="it-IT"/>
          </w:rPr>
          <w:t>articolo 1120 del codice civile</w:t>
        </w:r>
      </w:hyperlink>
      <w:r w:rsidRPr="00217CA3">
        <w:rPr>
          <w:rFonts w:ascii="Tahoma" w:eastAsia="Times New Roman" w:hAnsi="Tahoma" w:cs="Times New Roman"/>
          <w:i/>
          <w:iCs/>
          <w:sz w:val="20"/>
          <w:szCs w:val="20"/>
          <w:lang w:eastAsia="it-IT"/>
        </w:rPr>
        <w:t>.»</w:t>
      </w:r>
      <w:r w:rsidRPr="00217CA3">
        <w:rPr>
          <w:rFonts w:ascii="Tahoma" w:eastAsia="Times New Roman" w:hAnsi="Tahoma" w:cs="Times New Roman"/>
          <w:sz w:val="20"/>
          <w:szCs w:val="20"/>
          <w:lang w:eastAsia="it-IT"/>
        </w:rPr>
        <w:t>; </w:t>
      </w:r>
      <w:r w:rsidRPr="00217CA3">
        <w:rPr>
          <w:rFonts w:ascii="Tahoma" w:eastAsia="Times New Roman" w:hAnsi="Tahoma" w:cs="Times New Roman"/>
          <w:sz w:val="20"/>
          <w:szCs w:val="20"/>
          <w:lang w:eastAsia="it-IT"/>
        </w:rPr>
        <w:br/>
        <w:t>b) l’articolo 8 è abrogato. </w:t>
      </w:r>
    </w:p>
    <w:p w:rsidR="00883ACB" w:rsidRPr="00217CA3" w:rsidRDefault="00883ACB" w:rsidP="003F1855">
      <w:pPr>
        <w:shd w:val="clear" w:color="auto" w:fill="F5FDFE"/>
        <w:spacing w:before="100" w:beforeAutospacing="1" w:after="100" w:afterAutospacing="1"/>
        <w:rPr>
          <w:rFonts w:ascii="-webkit-standard" w:eastAsia="Times New Roman" w:hAnsi="-webkit-standard" w:cs="Times New Roman"/>
          <w:lang w:eastAsia="it-IT"/>
        </w:rPr>
      </w:pPr>
      <w:r w:rsidRPr="00217CA3">
        <w:rPr>
          <w:rFonts w:ascii="Tahoma" w:eastAsia="Times New Roman" w:hAnsi="Tahoma" w:cs="Times New Roman"/>
          <w:b/>
          <w:sz w:val="28"/>
          <w:szCs w:val="28"/>
          <w:lang w:eastAsia="it-IT"/>
        </w:rPr>
        <w:t>4.</w:t>
      </w:r>
      <w:r w:rsidRPr="00217CA3">
        <w:rPr>
          <w:rFonts w:ascii="Tahoma" w:eastAsia="Times New Roman" w:hAnsi="Tahoma" w:cs="Times New Roman"/>
          <w:sz w:val="20"/>
          <w:szCs w:val="20"/>
          <w:lang w:eastAsia="it-IT"/>
        </w:rPr>
        <w:t xml:space="preserve"> Per effetto della comunicazione del soggetto interessato di volersi avvalere del presente comma, sono </w:t>
      </w:r>
      <w:r w:rsidRPr="00217CA3">
        <w:rPr>
          <w:rFonts w:ascii="Tahoma" w:eastAsia="Times New Roman" w:hAnsi="Tahoma" w:cs="Times New Roman"/>
          <w:b/>
          <w:sz w:val="20"/>
          <w:szCs w:val="20"/>
          <w:lang w:eastAsia="it-IT"/>
        </w:rPr>
        <w:t>prorogati di tre anni i termini di inizio e di ultimazione dei lavori</w:t>
      </w:r>
      <w:r w:rsidRPr="00217CA3">
        <w:rPr>
          <w:rFonts w:ascii="Tahoma" w:eastAsia="Times New Roman" w:hAnsi="Tahoma" w:cs="Times New Roman"/>
          <w:sz w:val="20"/>
          <w:szCs w:val="20"/>
          <w:lang w:eastAsia="it-IT"/>
        </w:rPr>
        <w:t xml:space="preserve"> di cui all’</w:t>
      </w:r>
      <w:hyperlink r:id="rId32" w:anchor="015" w:history="1">
        <w:r w:rsidRPr="00217CA3">
          <w:rPr>
            <w:rFonts w:ascii="Tahoma" w:eastAsia="Times New Roman" w:hAnsi="Tahoma" w:cs="Times New Roman"/>
            <w:sz w:val="20"/>
            <w:szCs w:val="20"/>
            <w:u w:val="single"/>
            <w:lang w:eastAsia="it-IT"/>
          </w:rPr>
          <w:t>articolo 15 del decreto del Presidente della Repubblica 6 giugno 2001, n. 380</w:t>
        </w:r>
      </w:hyperlink>
      <w:r w:rsidRPr="00217CA3">
        <w:rPr>
          <w:rFonts w:ascii="Tahoma" w:eastAsia="Times New Roman" w:hAnsi="Tahoma" w:cs="Times New Roman"/>
          <w:sz w:val="20"/>
          <w:szCs w:val="20"/>
          <w:lang w:eastAsia="it-IT"/>
        </w:rPr>
        <w:t xml:space="preserve">, come indicati nei permessi di costruire rilasciati o comunque formatisi fino al 31 dicembre 2020, purché i suddetti termini non siano già decorsi al momento della comunicazione dell’interessato e sempre che i titoli abilitativi non risultino in contrasto, al momento della comunicazione dell’interessato, con nuovi strumenti urbanistici approvati o adottati. La medesima </w:t>
      </w:r>
      <w:r w:rsidRPr="00217CA3">
        <w:rPr>
          <w:rFonts w:ascii="Tahoma" w:eastAsia="Times New Roman" w:hAnsi="Tahoma" w:cs="Times New Roman"/>
          <w:sz w:val="20"/>
          <w:szCs w:val="20"/>
          <w:lang w:eastAsia="it-IT"/>
        </w:rPr>
        <w:lastRenderedPageBreak/>
        <w:t>proroga si applica alle segnalazioni certificate di inizio attività presentate entro lo stesso termine ai sensi degli </w:t>
      </w:r>
      <w:hyperlink r:id="rId33" w:anchor="022" w:history="1">
        <w:r w:rsidRPr="00217CA3">
          <w:rPr>
            <w:rFonts w:ascii="Tahoma" w:eastAsia="Times New Roman" w:hAnsi="Tahoma" w:cs="Times New Roman"/>
            <w:sz w:val="20"/>
            <w:szCs w:val="20"/>
            <w:u w:val="single"/>
            <w:lang w:eastAsia="it-IT"/>
          </w:rPr>
          <w:t>articoli 22 e 23 del decreto del Presidente della Repubblica 6 giugno 2001, n. 380</w:t>
        </w:r>
      </w:hyperlink>
      <w:r w:rsidRPr="00217CA3">
        <w:rPr>
          <w:rFonts w:ascii="Tahoma" w:eastAsia="Times New Roman" w:hAnsi="Tahoma" w:cs="Times New Roman"/>
          <w:sz w:val="20"/>
          <w:szCs w:val="20"/>
          <w:lang w:eastAsia="it-IT"/>
        </w:rPr>
        <w:t>. </w:t>
      </w:r>
    </w:p>
    <w:p w:rsidR="00883ACB" w:rsidRPr="00217CA3" w:rsidRDefault="00883ACB" w:rsidP="00883ACB">
      <w:pPr>
        <w:shd w:val="clear" w:color="auto" w:fill="F5FDFE"/>
        <w:spacing w:before="100" w:beforeAutospacing="1" w:after="100"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5. Non è subordinata alle autorizzazioni di cui agli </w:t>
      </w:r>
      <w:hyperlink r:id="rId34" w:anchor="021" w:history="1">
        <w:r w:rsidRPr="00217CA3">
          <w:rPr>
            <w:rFonts w:ascii="Tahoma" w:eastAsia="Times New Roman" w:hAnsi="Tahoma" w:cs="Times New Roman"/>
            <w:sz w:val="20"/>
            <w:szCs w:val="20"/>
            <w:u w:val="single"/>
            <w:lang w:eastAsia="it-IT"/>
          </w:rPr>
          <w:t>articoli 21</w:t>
        </w:r>
      </w:hyperlink>
      <w:r w:rsidRPr="00217CA3">
        <w:rPr>
          <w:rFonts w:ascii="Tahoma" w:eastAsia="Times New Roman" w:hAnsi="Tahoma" w:cs="Times New Roman"/>
          <w:sz w:val="20"/>
          <w:szCs w:val="20"/>
          <w:lang w:eastAsia="it-IT"/>
        </w:rPr>
        <w:t>, </w:t>
      </w:r>
      <w:hyperlink r:id="rId35" w:anchor="106" w:history="1">
        <w:r w:rsidRPr="00217CA3">
          <w:rPr>
            <w:rFonts w:ascii="Tahoma" w:eastAsia="Times New Roman" w:hAnsi="Tahoma" w:cs="Times New Roman"/>
            <w:sz w:val="20"/>
            <w:szCs w:val="20"/>
            <w:u w:val="single"/>
            <w:lang w:eastAsia="it-IT"/>
          </w:rPr>
          <w:t>106, comma 2-bis</w:t>
        </w:r>
      </w:hyperlink>
      <w:r w:rsidRPr="00217CA3">
        <w:rPr>
          <w:rFonts w:ascii="Tahoma" w:eastAsia="Times New Roman" w:hAnsi="Tahoma" w:cs="Times New Roman"/>
          <w:sz w:val="20"/>
          <w:szCs w:val="20"/>
          <w:lang w:eastAsia="it-IT"/>
        </w:rPr>
        <w:t>, e </w:t>
      </w:r>
      <w:hyperlink r:id="rId36" w:anchor="146" w:history="1">
        <w:r w:rsidRPr="00217CA3">
          <w:rPr>
            <w:rFonts w:ascii="Tahoma" w:eastAsia="Times New Roman" w:hAnsi="Tahoma" w:cs="Times New Roman"/>
            <w:sz w:val="20"/>
            <w:szCs w:val="20"/>
            <w:u w:val="single"/>
            <w:lang w:eastAsia="it-IT"/>
          </w:rPr>
          <w:t>146 del Codice dei beni culturali e del paesaggio, di cui al decreto legislativo 22 gennaio 2004, n. 42</w:t>
        </w:r>
      </w:hyperlink>
      <w:r w:rsidRPr="00217CA3">
        <w:rPr>
          <w:rFonts w:ascii="Tahoma" w:eastAsia="Times New Roman" w:hAnsi="Tahoma" w:cs="Times New Roman"/>
          <w:sz w:val="20"/>
          <w:szCs w:val="20"/>
          <w:lang w:eastAsia="it-IT"/>
        </w:rPr>
        <w:t>, la posa in opera di elementi o strutture amovibili sulle aree di cui all’</w:t>
      </w:r>
      <w:hyperlink r:id="rId37" w:anchor="010" w:history="1">
        <w:r w:rsidRPr="00217CA3">
          <w:rPr>
            <w:rFonts w:ascii="Tahoma" w:eastAsia="Times New Roman" w:hAnsi="Tahoma" w:cs="Times New Roman"/>
            <w:sz w:val="20"/>
            <w:szCs w:val="20"/>
            <w:u w:val="single"/>
            <w:lang w:eastAsia="it-IT"/>
          </w:rPr>
          <w:t>articolo 10, comma 4, lettera g), del medesimo Codice</w:t>
        </w:r>
      </w:hyperlink>
      <w:r w:rsidRPr="00217CA3">
        <w:rPr>
          <w:rFonts w:ascii="Tahoma" w:eastAsia="Times New Roman" w:hAnsi="Tahoma" w:cs="Times New Roman"/>
          <w:sz w:val="20"/>
          <w:szCs w:val="20"/>
          <w:lang w:eastAsia="it-IT"/>
        </w:rPr>
        <w:t>, fatta eccezione per le pubbliche piazze, le vie o gli spazi aperti urbani adiacenti a siti archeologici o ad altri beni di particolare valore storico o artistico. </w:t>
      </w:r>
    </w:p>
    <w:p w:rsidR="00883ACB" w:rsidRPr="00217CA3" w:rsidRDefault="00883ACB" w:rsidP="00883ACB">
      <w:pPr>
        <w:shd w:val="clear" w:color="auto" w:fill="F5FDFE"/>
        <w:spacing w:before="100" w:beforeAutospacing="1" w:after="100"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6. All’articolo 12, comma 2, del decreto-legge 17 ottobre 2016, n. 189, convertito, con modificazioni, dalla legge 15 dicembre 2016, n. 229, dopo le parole </w:t>
      </w:r>
      <w:r w:rsidRPr="00217CA3">
        <w:rPr>
          <w:rFonts w:ascii="Tahoma" w:eastAsia="Times New Roman" w:hAnsi="Tahoma" w:cs="Times New Roman"/>
          <w:i/>
          <w:iCs/>
          <w:sz w:val="20"/>
          <w:szCs w:val="20"/>
          <w:lang w:eastAsia="it-IT"/>
        </w:rPr>
        <w:t>«titolo edilizio»</w:t>
      </w:r>
      <w:r w:rsidRPr="00217CA3">
        <w:rPr>
          <w:rFonts w:ascii="Tahoma" w:eastAsia="Times New Roman" w:hAnsi="Tahoma" w:cs="Times New Roman"/>
          <w:sz w:val="20"/>
          <w:szCs w:val="20"/>
          <w:lang w:eastAsia="it-IT"/>
        </w:rPr>
        <w:t> sono aggiunte le seguenti: </w:t>
      </w:r>
      <w:r w:rsidRPr="00217CA3">
        <w:rPr>
          <w:rFonts w:ascii="Tahoma" w:eastAsia="Times New Roman" w:hAnsi="Tahoma" w:cs="Times New Roman"/>
          <w:i/>
          <w:iCs/>
          <w:sz w:val="20"/>
          <w:szCs w:val="20"/>
          <w:lang w:eastAsia="it-IT"/>
        </w:rPr>
        <w:t>«ai sensi dell’articolo 20 del testo unico delle disposizioni legislative e regolamentari in materia edilizia di cui al decreto del Presidente della Repubblica 6 giugno 2001, n. 380, ovvero verifica i titoli edilizi di cui agli articoli 22 e 23 del medesimo decreto. La conformità urbanistica è attestata dal professionista abilitato o dall’Ufficio comunale tramite i titoli edilizi legittimi dell’edificio preesistente, l’assenza di procedure sanzionatorie o di sanatoria in corso, l’inesistenza di vincoli di inedificabilità assoluta. Nei comuni indicati negli allegati 1, 2 e 2-bis gli interventi della ricostruzione di edifici privati in tutto o in parte lesionati, crollati o demoliti, od oggetto di ordinanza di demolizione per pericolo di crollo, sono autorizzati ai sensi e nei limiti di cui all’articolo 3-bis, comma 2, del decreto-legge 24 ottobre 2019, n. 123, convertito, con modificazioni, dalla legge 12 dicembre 2019, n. 156.»</w:t>
      </w:r>
      <w:r w:rsidRPr="00217CA3">
        <w:rPr>
          <w:rFonts w:ascii="Tahoma" w:eastAsia="Times New Roman" w:hAnsi="Tahoma" w:cs="Times New Roman"/>
          <w:sz w:val="20"/>
          <w:szCs w:val="20"/>
          <w:lang w:eastAsia="it-IT"/>
        </w:rPr>
        <w:t>. </w:t>
      </w:r>
    </w:p>
    <w:p w:rsidR="00883ACB" w:rsidRPr="00217CA3" w:rsidRDefault="00883ACB" w:rsidP="00883ACB">
      <w:pPr>
        <w:shd w:val="clear" w:color="auto" w:fill="F5FDFE"/>
        <w:spacing w:before="100" w:beforeAutospacing="1" w:after="100"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7. All’</w:t>
      </w:r>
      <w:hyperlink r:id="rId38" w:tgtFrame="_blank" w:history="1">
        <w:r w:rsidRPr="00217CA3">
          <w:rPr>
            <w:rFonts w:ascii="Tahoma" w:eastAsia="Times New Roman" w:hAnsi="Tahoma" w:cs="Times New Roman"/>
            <w:sz w:val="20"/>
            <w:szCs w:val="20"/>
            <w:u w:val="single"/>
            <w:lang w:eastAsia="it-IT"/>
          </w:rPr>
          <w:t>articolo 12 del decreto-legge 8 aprile 2020, n. 23, convertito, con modificazioni. dalla legge 5 giugno 2020, n. 40</w:t>
        </w:r>
      </w:hyperlink>
      <w:r w:rsidRPr="00217CA3">
        <w:rPr>
          <w:rFonts w:ascii="Tahoma" w:eastAsia="Times New Roman" w:hAnsi="Tahoma" w:cs="Times New Roman"/>
          <w:sz w:val="20"/>
          <w:szCs w:val="20"/>
          <w:lang w:eastAsia="it-IT"/>
        </w:rPr>
        <w:t>, sono apportate le seguenti modificazioni: </w:t>
      </w:r>
    </w:p>
    <w:p w:rsidR="00883ACB" w:rsidRPr="00217CA3" w:rsidRDefault="00883ACB" w:rsidP="00883ACB">
      <w:pPr>
        <w:shd w:val="clear" w:color="auto" w:fill="F5FDFE"/>
        <w:spacing w:beforeAutospacing="1"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a) al comma 2-ter, lettera a-bis), le parole </w:t>
      </w:r>
      <w:r w:rsidRPr="00217CA3">
        <w:rPr>
          <w:rFonts w:ascii="Tahoma" w:eastAsia="Times New Roman" w:hAnsi="Tahoma" w:cs="Times New Roman"/>
          <w:i/>
          <w:iCs/>
          <w:sz w:val="20"/>
          <w:szCs w:val="20"/>
          <w:lang w:eastAsia="it-IT"/>
        </w:rPr>
        <w:t>«alle quote di mutuo relative alle unità immobiliari appartenenti alle cooperative edilizie a proprietà indivisa adibite ad abitazione principale e alle relative pertinenze dei soci assegnatari che si trovino» </w:t>
      </w:r>
      <w:r w:rsidRPr="00217CA3">
        <w:rPr>
          <w:rFonts w:ascii="Tahoma" w:eastAsia="Times New Roman" w:hAnsi="Tahoma" w:cs="Times New Roman"/>
          <w:sz w:val="20"/>
          <w:szCs w:val="20"/>
          <w:lang w:eastAsia="it-IT"/>
        </w:rPr>
        <w:t>sono sostituite dalle seguenti: </w:t>
      </w:r>
      <w:r w:rsidRPr="00217CA3">
        <w:rPr>
          <w:rFonts w:ascii="Tahoma" w:eastAsia="Times New Roman" w:hAnsi="Tahoma" w:cs="Times New Roman"/>
          <w:i/>
          <w:iCs/>
          <w:sz w:val="20"/>
          <w:szCs w:val="20"/>
          <w:lang w:eastAsia="it-IT"/>
        </w:rPr>
        <w:t>«alle cooperative edilizie a proprietà indivisa, per mutui ipotecari erogati alle predette cooperative, di importo massimo pari al prodotto tra l’importo di cui alla lettera b) e il numero dei rispettivi soci, qualora almeno il 20% dei soci assegnatari di immobili residenziali e relative pertinenze si trovi, al momento dell’entrata in vigore della presente disposizione,»</w:t>
      </w:r>
      <w:r w:rsidRPr="00217CA3">
        <w:rPr>
          <w:rFonts w:ascii="Tahoma" w:eastAsia="Times New Roman" w:hAnsi="Tahoma" w:cs="Times New Roman"/>
          <w:sz w:val="20"/>
          <w:szCs w:val="20"/>
          <w:lang w:eastAsia="it-IT"/>
        </w:rPr>
        <w:t>; </w:t>
      </w:r>
      <w:r w:rsidRPr="00217CA3">
        <w:rPr>
          <w:rFonts w:ascii="Tahoma" w:eastAsia="Times New Roman" w:hAnsi="Tahoma" w:cs="Times New Roman"/>
          <w:sz w:val="20"/>
          <w:szCs w:val="20"/>
          <w:lang w:eastAsia="it-IT"/>
        </w:rPr>
        <w:br/>
        <w:t>b) al comma 2-ter, dopo la lettera a-bis) sono inserite le seguenti: </w:t>
      </w:r>
      <w:r w:rsidRPr="00217CA3">
        <w:rPr>
          <w:rFonts w:ascii="Tahoma" w:eastAsia="Times New Roman" w:hAnsi="Tahoma" w:cs="Times New Roman"/>
          <w:sz w:val="20"/>
          <w:szCs w:val="20"/>
          <w:lang w:eastAsia="it-IT"/>
        </w:rPr>
        <w:br/>
      </w:r>
      <w:r w:rsidRPr="00217CA3">
        <w:rPr>
          <w:rFonts w:ascii="Tahoma" w:eastAsia="Times New Roman" w:hAnsi="Tahoma" w:cs="Times New Roman"/>
          <w:i/>
          <w:iCs/>
          <w:sz w:val="20"/>
          <w:szCs w:val="20"/>
          <w:lang w:eastAsia="it-IT"/>
        </w:rPr>
        <w:t>«a-ter) la sospensione delle rate del mutuo di cui al comma a-bis) può essere concessa nella misura di: </w:t>
      </w:r>
      <w:r w:rsidRPr="00217CA3">
        <w:rPr>
          <w:rFonts w:ascii="Tahoma" w:eastAsia="Times New Roman" w:hAnsi="Tahoma" w:cs="Times New Roman"/>
          <w:i/>
          <w:iCs/>
          <w:sz w:val="20"/>
          <w:szCs w:val="20"/>
          <w:lang w:eastAsia="it-IT"/>
        </w:rPr>
        <w:br/>
        <w:t>1) 6 mesi, qualora gli eventi di cui all’articolo 2, comma 479, della legge 24 dicembre 2007, n. 244, verificatisi successivamente al 31 gennaio 2020, riguardano un numero di assegnatari pari ad almeno il 20 per cento dei soci; </w:t>
      </w:r>
      <w:r w:rsidRPr="00217CA3">
        <w:rPr>
          <w:rFonts w:ascii="Tahoma" w:eastAsia="Times New Roman" w:hAnsi="Tahoma" w:cs="Times New Roman"/>
          <w:i/>
          <w:iCs/>
          <w:sz w:val="20"/>
          <w:szCs w:val="20"/>
          <w:lang w:eastAsia="it-IT"/>
        </w:rPr>
        <w:br/>
        <w:t>2) 12 mesi, qualora gli eventi di cui all’articolo 2, comma 479, della legge 24 dicembre 2007, n. 244, verificatisi successivamente al 31 gennaio 2020, riguardano un numero di assegnatari compreso tra un valore superiore al 20 per cento e fino al 40 per cento dei soci; </w:t>
      </w:r>
      <w:r w:rsidRPr="00217CA3">
        <w:rPr>
          <w:rFonts w:ascii="Tahoma" w:eastAsia="Times New Roman" w:hAnsi="Tahoma" w:cs="Times New Roman"/>
          <w:i/>
          <w:iCs/>
          <w:sz w:val="20"/>
          <w:szCs w:val="20"/>
          <w:lang w:eastAsia="it-IT"/>
        </w:rPr>
        <w:br/>
        <w:t>3) 18 mesi, qualora gli eventi di cui all’articolo 2, comma 479, della legge 24 dicembre 2007, n. 244, verificatisi successivamente al 31 gennaio 2020, riguardano un numero di assegnatari superiore al 40 per cento dei soci; </w:t>
      </w:r>
      <w:r w:rsidRPr="00217CA3">
        <w:rPr>
          <w:rFonts w:ascii="Tahoma" w:eastAsia="Times New Roman" w:hAnsi="Tahoma" w:cs="Times New Roman"/>
          <w:i/>
          <w:iCs/>
          <w:sz w:val="20"/>
          <w:szCs w:val="20"/>
          <w:lang w:eastAsia="it-IT"/>
        </w:rPr>
        <w:br/>
        <w:t>a-quater) l’istanza di sospensione è presentata dalla società cooperativa mutuataria alla banca, attraverso il modulo pubblicato, entro 30 giorni dall’entrata in vigore del presente comma, nel sito internet del Gestore del Fondo di cui all’articolo 2, comma 475 e seguenti della legge 24 dicembre 2007, n. 244, che riporta l’indicazione dei documenti probatori degli eventi che determinano la richiesta di sospensione, previa delibera assunta dai rispettivi organi deliberativi, con le modalità e nei termini previsti dall’atto costitutivo, dallo statuto o da altri regolamenti interni della medesima società. Con decreto del Ministro dell’economia e delle finanze possono essere stabilite ulteriori modalità di attuazione delle disposizioni di cui al comma 2-ter.»</w:t>
      </w:r>
      <w:r w:rsidRPr="00217CA3">
        <w:rPr>
          <w:rFonts w:ascii="Tahoma" w:eastAsia="Times New Roman" w:hAnsi="Tahoma" w:cs="Times New Roman"/>
          <w:sz w:val="20"/>
          <w:szCs w:val="20"/>
          <w:lang w:eastAsia="it-IT"/>
        </w:rPr>
        <w:t>; </w:t>
      </w:r>
    </w:p>
    <w:p w:rsidR="00883ACB" w:rsidRPr="00217CA3" w:rsidRDefault="00883ACB" w:rsidP="00883ACB">
      <w:pPr>
        <w:shd w:val="clear" w:color="auto" w:fill="F5FDFE"/>
        <w:spacing w:before="100" w:beforeAutospacing="1" w:after="100" w:afterAutospacing="1"/>
        <w:ind w:left="708"/>
        <w:rPr>
          <w:rFonts w:ascii="-webkit-standard" w:eastAsia="Times New Roman" w:hAnsi="-webkit-standard" w:cs="Times New Roman"/>
          <w:lang w:eastAsia="it-IT"/>
        </w:rPr>
      </w:pPr>
      <w:r w:rsidRPr="00217CA3">
        <w:rPr>
          <w:rFonts w:ascii="Tahoma" w:eastAsia="Times New Roman" w:hAnsi="Tahoma" w:cs="Times New Roman"/>
          <w:sz w:val="20"/>
          <w:szCs w:val="20"/>
          <w:lang w:eastAsia="it-IT"/>
        </w:rPr>
        <w:t>c) il comma 2-quater è abrogato.</w:t>
      </w:r>
    </w:p>
    <w:p w:rsidR="00883ACB" w:rsidRPr="00217CA3" w:rsidRDefault="00883ACB" w:rsidP="00883ACB">
      <w:pPr>
        <w:ind w:left="708"/>
        <w:rPr>
          <w:rFonts w:ascii="Times New Roman" w:eastAsia="Times New Roman" w:hAnsi="Times New Roman" w:cs="Times New Roman"/>
          <w:lang w:eastAsia="it-IT"/>
        </w:rPr>
      </w:pPr>
    </w:p>
    <w:p w:rsidR="00883ACB" w:rsidRPr="00217CA3" w:rsidRDefault="00883ACB" w:rsidP="00883ACB">
      <w:pPr>
        <w:pStyle w:val="NormaleWeb"/>
        <w:spacing w:before="240" w:beforeAutospacing="0" w:after="240" w:afterAutospacing="0" w:line="330" w:lineRule="atLeast"/>
        <w:rPr>
          <w:rFonts w:ascii="Oxygen-Regular" w:hAnsi="Oxygen-Regular"/>
        </w:rPr>
      </w:pP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11 - Accelerazione e semplificazione della ricostruzione pubblica nelle aree colpite da eventi sismici</w:t>
      </w:r>
    </w:p>
    <w:p w:rsidR="00883ACB" w:rsidRPr="00217CA3" w:rsidRDefault="00883ACB" w:rsidP="00883ACB">
      <w:pPr>
        <w:pStyle w:val="NormaleWeb"/>
        <w:spacing w:before="240" w:beforeAutospacing="0" w:after="240" w:afterAutospacing="0" w:line="330" w:lineRule="atLeast"/>
        <w:rPr>
          <w:rFonts w:ascii="Oxygen-Regular" w:hAnsi="Oxygen-Regular"/>
        </w:rPr>
      </w:pPr>
    </w:p>
    <w:p w:rsidR="00883ACB" w:rsidRPr="00217CA3" w:rsidRDefault="00883ACB" w:rsidP="00883ACB">
      <w:pPr>
        <w:pStyle w:val="NormaleWeb"/>
        <w:spacing w:before="240" w:beforeAutospacing="0" w:after="240" w:afterAutospacing="0" w:line="330" w:lineRule="atLeast"/>
        <w:rPr>
          <w:rFonts w:ascii="Oxygen-Regular" w:hAnsi="Oxygen-Regular"/>
        </w:rPr>
      </w:pP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TITOLO II</w:t>
      </w:r>
      <w:r w:rsidRPr="00217CA3">
        <w:rPr>
          <w:rFonts w:ascii="Oxygen-Regular" w:hAnsi="Oxygen-Regular"/>
        </w:rPr>
        <w:t>-</w:t>
      </w:r>
      <w:r w:rsidRPr="00217CA3">
        <w:rPr>
          <w:rStyle w:val="apple-converted-space"/>
          <w:rFonts w:ascii="Oxygen-Regular" w:hAnsi="Oxygen-Regular"/>
        </w:rPr>
        <w:t> </w:t>
      </w:r>
      <w:r w:rsidRPr="00217CA3">
        <w:rPr>
          <w:rStyle w:val="Enfasigrassetto"/>
          <w:rFonts w:ascii="Oxygen-Regular" w:hAnsi="Oxygen-Regular"/>
        </w:rPr>
        <w:t>SEMPLIFICAZIONI PROCEDIMENTALI E RESPONSABILITA’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 - Semplificazioni procedimentali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12 - Modifiche alla legge 7 agosto 1990, n. 241</w:t>
      </w:r>
    </w:p>
    <w:p w:rsidR="00883ACB" w:rsidRPr="00217CA3" w:rsidRDefault="00883ACB" w:rsidP="00883ACB">
      <w:pPr>
        <w:pStyle w:val="NormaleWeb"/>
        <w:shd w:val="clear" w:color="auto" w:fill="F5FDFE"/>
        <w:rPr>
          <w:rFonts w:ascii="-webkit-standard" w:hAnsi="-webkit-standard"/>
        </w:rPr>
      </w:pPr>
      <w:r w:rsidRPr="00217CA3">
        <w:rPr>
          <w:rFonts w:ascii="Tahoma" w:hAnsi="Tahoma"/>
          <w:b/>
          <w:bCs/>
          <w:sz w:val="20"/>
          <w:szCs w:val="20"/>
        </w:rPr>
        <w:br/>
        <w:t>Art. 12. Modifiche alla</w:t>
      </w:r>
      <w:r w:rsidRPr="00217CA3">
        <w:rPr>
          <w:rStyle w:val="apple-converted-space"/>
          <w:rFonts w:ascii="Tahoma" w:hAnsi="Tahoma"/>
          <w:b/>
          <w:bCs/>
          <w:sz w:val="20"/>
          <w:szCs w:val="20"/>
        </w:rPr>
        <w:t> </w:t>
      </w:r>
      <w:hyperlink r:id="rId39" w:history="1">
        <w:r w:rsidRPr="00217CA3">
          <w:rPr>
            <w:rStyle w:val="Collegamentoipertestuale"/>
            <w:rFonts w:ascii="Tahoma" w:hAnsi="Tahoma"/>
            <w:b/>
            <w:bCs/>
            <w:color w:val="auto"/>
            <w:sz w:val="20"/>
            <w:szCs w:val="20"/>
          </w:rPr>
          <w:t>legge 7 agosto 1990, n. 241</w:t>
        </w:r>
        <w:r w:rsidRPr="00217CA3">
          <w:rPr>
            <w:rStyle w:val="apple-converted-space"/>
            <w:rFonts w:ascii="Tahoma" w:hAnsi="Tahoma"/>
            <w:b/>
            <w:bCs/>
            <w:sz w:val="20"/>
            <w:szCs w:val="20"/>
            <w:u w:val="single"/>
          </w:rPr>
          <w:t> </w:t>
        </w:r>
      </w:hyperlink>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Alla legge 7 agosto 1990, n. 241 sono apportate le seguenti modificazioni:</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a) all’articolo 2:</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dopo il comma 4, è inserito il seguente: “4 -bis . Le pubbliche amministrazioni misurano e rendono pubblici i tempi effettivi di conclusione dei procedimenti amministrativi di maggiore impatto per i cittadini e per le imprese, comparandoli con i termini previsti dalla normativa vigente. Con decreto del Presidente del Consiglio dei ministri, su proposta del Ministro per la pubblica amministrazione, previa intesa in Conferenza unificata di cui all’articolo 8 del decreto legislativo 28 agosto 1997, n. 281, sono definite modalità e criteri di misurazione dei tempi effettivi di conclusione dei procedimenti di cui al primo periodo.”;</w:t>
      </w:r>
      <w:r w:rsidRPr="00217CA3">
        <w:rPr>
          <w:rStyle w:val="apple-converted-space"/>
          <w:rFonts w:ascii="Tahoma" w:hAnsi="Tahoma"/>
          <w:sz w:val="20"/>
          <w:szCs w:val="20"/>
        </w:rPr>
        <w:t> </w:t>
      </w:r>
      <w:r w:rsidRPr="00217CA3">
        <w:rPr>
          <w:rFonts w:ascii="Tahoma" w:hAnsi="Tahoma"/>
          <w:sz w:val="20"/>
          <w:szCs w:val="20"/>
        </w:rPr>
        <w:br/>
        <w:t>2) dopo il comma 8, è inserito il seguente: “8 -bis . Le determinazioni relative ai provvedimenti, alle autorizzazioni, ai pareri, ai nulla osta e agli atti di assenso comunque denominati, adottate dopo la scadenza dei termini di cui agli articoli 14 -bis , comma 2, lettera c) , 17 -bis , commi 1 e 3, 20, comma 1, ovvero successivamente all’ultima riunione di cui all’articolo 14 - ter , comma 7, nonché i provvedimenti di divieto di prosecuzione dell’attività e di rimozione degli eventuali effetti, di cui all’articolo 19, comma 3 e 6 -bis , adottati dopo la scadenza dei termini ivi previsti, sono inefficaci, fermo restando quanto previsto dall’articolo 21 -</w:t>
      </w:r>
      <w:proofErr w:type="spellStart"/>
      <w:r w:rsidRPr="00217CA3">
        <w:rPr>
          <w:rFonts w:ascii="Tahoma" w:hAnsi="Tahoma"/>
          <w:sz w:val="20"/>
          <w:szCs w:val="20"/>
        </w:rPr>
        <w:t>nonies</w:t>
      </w:r>
      <w:proofErr w:type="spellEnd"/>
      <w:r w:rsidRPr="00217CA3">
        <w:rPr>
          <w:rFonts w:ascii="Tahoma" w:hAnsi="Tahoma"/>
          <w:sz w:val="20"/>
          <w:szCs w:val="20"/>
        </w:rPr>
        <w:t xml:space="preserve"> , ove ne ricorrano i presupposti e le condizioni.”;</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b) all’articolo 3 -bis , le parole “incentivano l’uso della telematica” sono sostituite dalle seguenti: “agiscono mediante strumenti informatici e telematici”;</w:t>
      </w:r>
      <w:r w:rsidRPr="00217CA3">
        <w:rPr>
          <w:rStyle w:val="apple-converted-space"/>
          <w:rFonts w:ascii="Tahoma" w:hAnsi="Tahoma"/>
          <w:sz w:val="20"/>
          <w:szCs w:val="20"/>
        </w:rPr>
        <w:t> </w:t>
      </w:r>
      <w:r w:rsidRPr="00217CA3">
        <w:rPr>
          <w:rFonts w:ascii="Tahoma" w:hAnsi="Tahoma"/>
          <w:sz w:val="20"/>
          <w:szCs w:val="20"/>
        </w:rPr>
        <w:br/>
        <w:t>c) all’articolo 5, comma 3, dopo le parole “L’unità organizzativa competente” sono inserite le seguenti: “, il domicilio digitale”;</w:t>
      </w:r>
      <w:r w:rsidRPr="00217CA3">
        <w:rPr>
          <w:rStyle w:val="apple-converted-space"/>
          <w:rFonts w:ascii="Tahoma" w:hAnsi="Tahoma"/>
          <w:sz w:val="20"/>
          <w:szCs w:val="20"/>
        </w:rPr>
        <w:t> </w:t>
      </w:r>
      <w:r w:rsidRPr="00217CA3">
        <w:rPr>
          <w:rFonts w:ascii="Tahoma" w:hAnsi="Tahoma"/>
          <w:sz w:val="20"/>
          <w:szCs w:val="20"/>
        </w:rPr>
        <w:br/>
        <w:t>d) all’articolo 8, comma 2:</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alla lettera c) , dopo le parole “l’ufficio” sono inserite le seguenti: “, il domicilio digitale dell’amministrazione”;</w:t>
      </w:r>
      <w:r w:rsidRPr="00217CA3">
        <w:rPr>
          <w:rStyle w:val="apple-converted-space"/>
          <w:rFonts w:ascii="Tahoma" w:hAnsi="Tahoma"/>
          <w:sz w:val="20"/>
          <w:szCs w:val="20"/>
        </w:rPr>
        <w:t> </w:t>
      </w:r>
      <w:r w:rsidRPr="00217CA3">
        <w:rPr>
          <w:rFonts w:ascii="Tahoma" w:hAnsi="Tahoma"/>
          <w:sz w:val="20"/>
          <w:szCs w:val="20"/>
        </w:rPr>
        <w:br/>
        <w:t>2) la lettera d) è sostituita dalla seguente: “d) le modalità con le quali, attraverso il punto di accesso telematico di cui all’articolo 64 -bis del decreto legislativo 7 marzo 2005, n. 82 o con altre modalità telematiche, è possibile prendere visione degli atti, accedere al fascicolo informatico di cui all’articolo 41 dello stesso decreto legislativo n. 82 del 2005 ed esercitare in via telematica i diritti previsti dalla presente legge;”;</w:t>
      </w:r>
      <w:r w:rsidRPr="00217CA3">
        <w:rPr>
          <w:rStyle w:val="apple-converted-space"/>
          <w:rFonts w:ascii="Tahoma" w:hAnsi="Tahoma"/>
          <w:sz w:val="20"/>
          <w:szCs w:val="20"/>
        </w:rPr>
        <w:t> </w:t>
      </w:r>
      <w:r w:rsidRPr="00217CA3">
        <w:rPr>
          <w:rFonts w:ascii="Tahoma" w:hAnsi="Tahoma"/>
          <w:sz w:val="20"/>
          <w:szCs w:val="20"/>
        </w:rPr>
        <w:br/>
        <w:t>3) dopo la lettera d) , è inserita la seguente: “d -bis ) l’ufficio dove è possibile prendere visione degli atti che non sono disponibili o accessibili con le modalità di cui alla lettera d)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 xml:space="preserve">e) all’articolo 10 -bis , comma 1, il terzo e il quarto periodo sono sostituiti dai seguenti: “La comunicazione di cui al primo periodo sospende i termini di conclusione dei procedimenti, che ricominciano a decorrere dieci giorni dopo la presentazione delle osservazioni o, in mancanza delle stesse, dalla scadenza del termine di cui </w:t>
      </w:r>
      <w:r w:rsidRPr="00217CA3">
        <w:rPr>
          <w:rFonts w:ascii="Tahoma" w:hAnsi="Tahoma"/>
          <w:sz w:val="20"/>
          <w:szCs w:val="20"/>
        </w:rPr>
        <w:lastRenderedPageBreak/>
        <w:t>al secondo periodo. Qualora gli istanti abbiano presentato osservazioni, del loro eventuale mancato accoglimento il responsabile del procedimento o l’autorità competente sono tenuti a dare ragione nella motivazione del provvedimento finale di diniego indicando, se ve ne sono, i soli motivi ostativi ulteriori che sono conseguenza delle osservazioni. In caso di annullamento in giudizio del provvedimento così adottato, nell’esercitare nuovamente il suo potere l’amministrazione non può addurre per la prima volta motivi ostativi già emergenti dall’istruttoria del provvedimento annullato.”;</w:t>
      </w:r>
      <w:r w:rsidRPr="00217CA3">
        <w:rPr>
          <w:rStyle w:val="apple-converted-space"/>
          <w:rFonts w:ascii="Tahoma" w:hAnsi="Tahoma"/>
          <w:sz w:val="20"/>
          <w:szCs w:val="20"/>
        </w:rPr>
        <w:t> </w:t>
      </w:r>
      <w:r w:rsidRPr="00217CA3">
        <w:rPr>
          <w:rFonts w:ascii="Tahoma" w:hAnsi="Tahoma"/>
          <w:sz w:val="20"/>
          <w:szCs w:val="20"/>
        </w:rPr>
        <w:br/>
        <w:t>f) all’articolo 16, comma 2:</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il primo periodo è soppresso;</w:t>
      </w:r>
      <w:r w:rsidRPr="00217CA3">
        <w:rPr>
          <w:rFonts w:ascii="Tahoma" w:hAnsi="Tahoma"/>
          <w:sz w:val="20"/>
          <w:szCs w:val="20"/>
        </w:rPr>
        <w:br/>
        <w:t>2) al secondo periodo la parola: “facoltativo” è soppressa;</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g) all’articolo 17 -bis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alla rubrica, le parole “Silenzio assenso” sono sostituite dalle seguenti: “Effetti del silenzio e dell’inerzia nei rapporti”;</w:t>
      </w:r>
      <w:r w:rsidRPr="00217CA3">
        <w:rPr>
          <w:rStyle w:val="apple-converted-space"/>
          <w:rFonts w:ascii="Tahoma" w:hAnsi="Tahoma"/>
          <w:sz w:val="20"/>
          <w:szCs w:val="20"/>
        </w:rPr>
        <w:t> </w:t>
      </w:r>
      <w:r w:rsidRPr="00217CA3">
        <w:rPr>
          <w:rFonts w:ascii="Tahoma" w:hAnsi="Tahoma"/>
          <w:sz w:val="20"/>
          <w:szCs w:val="20"/>
        </w:rPr>
        <w:br/>
        <w:t>2) al comma 1, dopo il primo periodo è inserito il seguente: “Esclusi i casi di cui al comma 3, quando per l’adozione di provvedimenti normativi e amministrativi è prevista la proposta di una o più amministrazioni pubbliche diverse da quella competente ad adottare l’atto, la proposta stessa è trasmessa entro trenta giorni dal ricevimento della richiesta da parte di quest’ultima amministrazione.”;</w:t>
      </w:r>
      <w:r w:rsidRPr="00217CA3">
        <w:rPr>
          <w:rStyle w:val="apple-converted-space"/>
          <w:rFonts w:ascii="Tahoma" w:hAnsi="Tahoma"/>
          <w:sz w:val="20"/>
          <w:szCs w:val="20"/>
        </w:rPr>
        <w:t> </w:t>
      </w:r>
      <w:r w:rsidRPr="00217CA3">
        <w:rPr>
          <w:rFonts w:ascii="Tahoma" w:hAnsi="Tahoma"/>
          <w:sz w:val="20"/>
          <w:szCs w:val="20"/>
        </w:rPr>
        <w:br/>
        <w:t>3) al comma 1, come modificato dalla presente lettera, quarto periodo, dopo le parole “dello schema di provvedimento;” sono inserite le seguenti: “lo stesso termine si applica qualora dette esigenze istruttorie siano rappresentate dall’amministrazione proponente nei casi di cui al secondo periodo.” e le parole “non sono ammesse” sono sostituite dalle seguenti: “Non sono ammesse”;</w:t>
      </w:r>
      <w:r w:rsidRPr="00217CA3">
        <w:rPr>
          <w:rStyle w:val="apple-converted-space"/>
          <w:rFonts w:ascii="Tahoma" w:hAnsi="Tahoma"/>
          <w:sz w:val="20"/>
          <w:szCs w:val="20"/>
        </w:rPr>
        <w:t> </w:t>
      </w:r>
      <w:r w:rsidRPr="00217CA3">
        <w:rPr>
          <w:rFonts w:ascii="Tahoma" w:hAnsi="Tahoma"/>
          <w:sz w:val="20"/>
          <w:szCs w:val="20"/>
        </w:rPr>
        <w:br/>
        <w:t>4) al comma 2, dopo il primo periodo è inserito il seguente: “Esclusi i casi di cui al comma 3, qualora la proposta non sia trasmessa nei termini di cui al comma 1, secondo periodo, l’amministrazione competente può comunque procedere. In tal caso, lo schema di provvedimento, corredato della relativa documentazione, è trasmesso all’amministrazione che avrebbe dovuto formulare la proposta per acquisirne l’assenso ai sensi del presente articolo.”;</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h) all’articolo 18:</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al comma 1, le parole da “Entro sei mesi” fino a “interessate” sono sostituite dalle seguenti: “Le amministrazioni”, e le parole “di cui alla legge 4 gennaio 1968, n. 15 e successive modificazioni e integrazioni” sono sostituite dalle seguenti: “di cui al decreto del Presidente della Repubblica 28 dicembre 2000, n. 445”;</w:t>
      </w:r>
      <w:r w:rsidRPr="00217CA3">
        <w:rPr>
          <w:rStyle w:val="apple-converted-space"/>
          <w:rFonts w:ascii="Tahoma" w:hAnsi="Tahoma"/>
          <w:sz w:val="20"/>
          <w:szCs w:val="20"/>
        </w:rPr>
        <w:t> </w:t>
      </w:r>
      <w:r w:rsidRPr="00217CA3">
        <w:rPr>
          <w:rFonts w:ascii="Tahoma" w:hAnsi="Tahoma"/>
          <w:sz w:val="20"/>
          <w:szCs w:val="20"/>
        </w:rPr>
        <w:br/>
        <w:t>2) dopo il comma 3, è inserito il seguente: “3 -bis . Nei procedimenti avviati su istanza di parte, che hanno ad oggetto l’erogazione di benefici economici comunque denominati, indennità, prestazioni previdenziali e assistenziali, erogazioni, contributi, sovvenzioni, finanziamenti, prestiti, agevolazioni, da parte di pubbliche amministrazioni ovvero il rilascio di autorizzazioni e nulla osta comunque denominati, le dichiarazioni di cui agli articoli 46 e 47 del decreto del Presidente della Repubblica 28 dicembre 2000, n. 445, ovvero l’acquisizione di dati e documenti di cui ai commi 2 e 3, sostituiscono ogni tipo di documentazione comprovante tutti i requisiti soggettivi ed oggettivi richiesti dalla normativa di riferimento, fatto comunque salvo il rispetto delle disposizioni del codice delle leggi antimafia e delle misure di prevenzione, di cui al decreto legislativo 6 settembre 2011, n. 159.”;</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i) all’articolo 21 -</w:t>
      </w:r>
      <w:proofErr w:type="spellStart"/>
      <w:r w:rsidRPr="00217CA3">
        <w:rPr>
          <w:rFonts w:ascii="Tahoma" w:hAnsi="Tahoma"/>
          <w:sz w:val="20"/>
          <w:szCs w:val="20"/>
        </w:rPr>
        <w:t>octies</w:t>
      </w:r>
      <w:proofErr w:type="spellEnd"/>
      <w:r w:rsidRPr="00217CA3">
        <w:rPr>
          <w:rFonts w:ascii="Tahoma" w:hAnsi="Tahoma"/>
          <w:sz w:val="20"/>
          <w:szCs w:val="20"/>
        </w:rPr>
        <w:t xml:space="preserve"> , comma 2, è aggiunto, in fine, il seguente periodo: “La disposizione di cui al secondo periodo non si applica al provvedimento adottato in violazione dell’articolo 10 -bis .”; l) all’articolo 29, comma 2 -bis , dopo le parole “il termine prefissato” sono inserite le seguenti: “, di misurare i tempi effettivi di conclusione dei procedimenti”.</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2. Entro il 31 dicembre 2020 le amministrazioni e gli enti pubblici statali provvedono a verificare e a rideterminare, in riduzione, i termini di durata dei procedimenti di loro competenza ai sensi dell’</w:t>
      </w:r>
      <w:hyperlink r:id="rId40" w:anchor="02" w:history="1">
        <w:r w:rsidRPr="00217CA3">
          <w:rPr>
            <w:rStyle w:val="Collegamentoipertestuale"/>
            <w:rFonts w:ascii="Tahoma" w:hAnsi="Tahoma"/>
            <w:color w:val="auto"/>
            <w:sz w:val="20"/>
            <w:szCs w:val="20"/>
          </w:rPr>
          <w:t>articolo 2 della legge 7 agosto 1990, n. 241</w:t>
        </w:r>
      </w:hyperlink>
      <w:r w:rsidRPr="00217CA3">
        <w:rPr>
          <w:rFonts w:ascii="Tahoma" w:hAnsi="Tahoma"/>
          <w:sz w:val="20"/>
          <w:szCs w:val="20"/>
        </w:rPr>
        <w:t>.</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 xml:space="preserve">3. Gli enti locali possono gestire in forma associata in ambito provinciale o metropolitano l’attuazione delle disposizioni di cui all’articolo 18 della legge 7 agosto 1990, n. 241. Le province e le città metropolitane definiscono nelle assemblee dei sindaci delle province e nelle conferenze metropolitane appositi protocolli </w:t>
      </w:r>
      <w:r w:rsidRPr="00217CA3">
        <w:rPr>
          <w:rFonts w:ascii="Tahoma" w:hAnsi="Tahoma"/>
          <w:sz w:val="20"/>
          <w:szCs w:val="20"/>
        </w:rPr>
        <w:lastRenderedPageBreak/>
        <w:t>per organizzare lo svolgimento delle funzioni conoscitive, strumentali e di controllo, connesse all’attuazione delle norme di semplificazione della documentazione e dei procedimenti amministrativi.</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b/>
          <w:bCs/>
          <w:sz w:val="20"/>
          <w:szCs w:val="20"/>
        </w:rPr>
        <w:t>Art. 13. Accelerazione del procedimento in conferenza di servizi</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Fino al 31 dicembre 2021, in tutti i casi in cui debba essere indetta una conferenza di servizi decisoria ai sensi dell’articolo 14, comma 2, della legge 7 agosto 1990, n. 241, è in facoltà delle amministrazioni procedenti di adottare lo strumento della conferenza semplificata di cui all’articolo 14 -bis della medesima legge, con le seguenti modificazioni:</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a) tutte le amministrazioni coinvolte rilasciano le determinazioni di competenza entro il termine perentorio di sessanta giorni;</w:t>
      </w:r>
      <w:r w:rsidRPr="00217CA3">
        <w:rPr>
          <w:rStyle w:val="apple-converted-space"/>
          <w:rFonts w:ascii="Tahoma" w:hAnsi="Tahoma"/>
          <w:sz w:val="20"/>
          <w:szCs w:val="20"/>
        </w:rPr>
        <w:t> </w:t>
      </w:r>
      <w:r w:rsidRPr="00217CA3">
        <w:rPr>
          <w:rFonts w:ascii="Tahoma" w:hAnsi="Tahoma"/>
          <w:sz w:val="20"/>
          <w:szCs w:val="20"/>
        </w:rPr>
        <w:br/>
        <w:t>b) al di fuori dei casi di cui all’articolo 14 -bis , comma 5, l’amministrazione procedente svolge, entro trenta giorni decorrenti dalla scadenza del termine per il rilascio delle determinazioni di competenza delle singole amministrazioni, con le modalità di cui all’articolo 14 -ter , comma 4, della legge n. 241 del 1990, una riunione telematica di tutte le amministrazioni coinvolte nella quale prende atto delle rispettive posizioni e procede senza ritardo alla stesura della determinazione motivata conclusiva della conferenza di servizi verso la quale può essere proposta opposizione dalle amministrazioni di cui all’articolo 14 -</w:t>
      </w:r>
      <w:proofErr w:type="spellStart"/>
      <w:r w:rsidRPr="00217CA3">
        <w:rPr>
          <w:rFonts w:ascii="Tahoma" w:hAnsi="Tahoma"/>
          <w:sz w:val="20"/>
          <w:szCs w:val="20"/>
        </w:rPr>
        <w:t>quinquies</w:t>
      </w:r>
      <w:proofErr w:type="spellEnd"/>
      <w:r w:rsidRPr="00217CA3">
        <w:rPr>
          <w:rFonts w:ascii="Tahoma" w:hAnsi="Tahoma"/>
          <w:sz w:val="20"/>
          <w:szCs w:val="20"/>
        </w:rPr>
        <w:t>, della legge n. 241 del 1990, ai sensi e nei termini ivi indicati. Si considera in ogni caso acquisito l’assenso senza condizioni delle amministrazioni che non abbiano partecipato alla riunione ovvero, pur partecipandovi, non abbiano espresso la propria posizione, ovvero abbiano espresso un dissenso non motivato o riferito a questioni che non costituiscono oggetto della conferenza.</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2. Nei casi di cui agli articoli 1 e 2, ove si renda necessario riconvocare la conferenza di servizi sul livello successivo di progettazione tutti i termini sono ridotti della metà e gli ulteriori atti di autorizzazione, di assenso e i pareri comunque denominati, eventualmente necessari in fase di esecuzione, sono rilasciati in ogni caso nel termine di sessanta giorni dalla richiesta.</w:t>
      </w:r>
    </w:p>
    <w:p w:rsidR="00883ACB" w:rsidRPr="00217CA3" w:rsidRDefault="00883ACB" w:rsidP="00883ACB">
      <w:pPr>
        <w:pStyle w:val="NormaleWeb"/>
        <w:shd w:val="clear" w:color="auto" w:fill="F5FDFE"/>
        <w:rPr>
          <w:rFonts w:ascii="-webkit-standard" w:hAnsi="-webkit-standard"/>
        </w:rPr>
      </w:pPr>
      <w:r w:rsidRPr="00217CA3">
        <w:rPr>
          <w:rFonts w:ascii="Tahoma" w:hAnsi="Tahoma"/>
          <w:b/>
          <w:bCs/>
          <w:sz w:val="20"/>
          <w:szCs w:val="20"/>
        </w:rPr>
        <w:t>Art. 14. Disincentivi alla introduzione di nuovi oneri regolatori</w:t>
      </w:r>
      <w:r w:rsidRPr="00217CA3">
        <w:rPr>
          <w:rStyle w:val="apple-converted-space"/>
          <w:rFonts w:ascii="Tahoma" w:hAnsi="Tahoma"/>
          <w:b/>
          <w:bCs/>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All’</w:t>
      </w:r>
      <w:hyperlink r:id="rId41" w:anchor="08" w:history="1">
        <w:r w:rsidRPr="00217CA3">
          <w:rPr>
            <w:rStyle w:val="Collegamentoipertestuale"/>
            <w:rFonts w:ascii="Tahoma" w:hAnsi="Tahoma"/>
            <w:color w:val="auto"/>
            <w:sz w:val="20"/>
            <w:szCs w:val="20"/>
          </w:rPr>
          <w:t>articolo 8 della legge 11 novembre 2011, n. 180</w:t>
        </w:r>
      </w:hyperlink>
      <w:r w:rsidRPr="00217CA3">
        <w:rPr>
          <w:rFonts w:ascii="Tahoma" w:hAnsi="Tahoma"/>
          <w:sz w:val="20"/>
          <w:szCs w:val="20"/>
        </w:rPr>
        <w:t>, dopo il comma 1 è inserito il seguente:</w:t>
      </w:r>
      <w:r w:rsidRPr="00217CA3">
        <w:rPr>
          <w:rStyle w:val="apple-converted-space"/>
          <w:rFonts w:ascii="Tahoma" w:hAnsi="Tahoma"/>
          <w:sz w:val="20"/>
          <w:szCs w:val="20"/>
        </w:rPr>
        <w:t> </w:t>
      </w:r>
      <w:r w:rsidRPr="00217CA3">
        <w:rPr>
          <w:rFonts w:ascii="Tahoma" w:hAnsi="Tahoma"/>
          <w:i/>
          <w:iCs/>
          <w:sz w:val="20"/>
          <w:szCs w:val="20"/>
        </w:rPr>
        <w:t>«1-bis. Per gli atti normativi di competenza statale, il costo derivante dall’introduzione degli oneri regolatori, compresi quelli informativi e amministrativi ed esclusi quelli che costituiscono livelli minimi per l’attuazione della regolazione europea, qualora non contestualmente compensato con una riduzione stimata di oneri di pari valore, è qualificato, salva deroga espressa, come onere fiscalmente detraibile, ferma restando la necessità della previa quantificazione delle minori entrate e della individuazione di un’idonea copertura finanziaria con norma di rango primario. Per gli atti normativi di iniziativa governativa, la stima del predetto costo è inclusa nell’ambito dell’analisi di impatto della regolamentazione di cui all’</w:t>
      </w:r>
      <w:hyperlink r:id="rId42" w:anchor="14" w:history="1">
        <w:r w:rsidRPr="00217CA3">
          <w:rPr>
            <w:rStyle w:val="Collegamentoipertestuale"/>
            <w:rFonts w:ascii="Tahoma" w:hAnsi="Tahoma"/>
            <w:i/>
            <w:iCs/>
            <w:color w:val="auto"/>
            <w:sz w:val="20"/>
            <w:szCs w:val="20"/>
          </w:rPr>
          <w:t>articolo 14 della legge 14 novembre 2005, n. 246.</w:t>
        </w:r>
      </w:hyperlink>
      <w:r w:rsidRPr="00217CA3">
        <w:rPr>
          <w:rFonts w:ascii="Tahoma" w:hAnsi="Tahoma"/>
          <w:i/>
          <w:iCs/>
          <w:sz w:val="20"/>
          <w:szCs w:val="20"/>
        </w:rPr>
        <w:t>»</w:t>
      </w:r>
      <w:r w:rsidRPr="00217CA3">
        <w:rPr>
          <w:rFonts w:ascii="Tahoma" w:hAnsi="Tahoma"/>
          <w:sz w:val="20"/>
          <w:szCs w:val="20"/>
        </w:rPr>
        <w:t>.</w:t>
      </w:r>
    </w:p>
    <w:p w:rsidR="00883ACB" w:rsidRPr="00217CA3" w:rsidRDefault="00883ACB" w:rsidP="00883ACB">
      <w:pPr>
        <w:pStyle w:val="NormaleWeb"/>
        <w:spacing w:before="240" w:beforeAutospacing="0" w:after="240" w:afterAutospacing="0" w:line="330" w:lineRule="atLeast"/>
        <w:rPr>
          <w:rFonts w:ascii="Oxygen-Regular" w:hAnsi="Oxygen-Regular"/>
        </w:rPr>
      </w:pP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13 - Accelerazione del procedimento in conferenza di servizi</w:t>
      </w:r>
    </w:p>
    <w:p w:rsidR="00883ACB" w:rsidRPr="00217CA3" w:rsidRDefault="00883ACB" w:rsidP="00883ACB">
      <w:pPr>
        <w:pStyle w:val="NormaleWeb"/>
        <w:shd w:val="clear" w:color="auto" w:fill="F5FDFE"/>
        <w:rPr>
          <w:rFonts w:ascii="-webkit-standard" w:hAnsi="-webkit-standard"/>
        </w:rPr>
      </w:pPr>
      <w:r w:rsidRPr="00217CA3">
        <w:rPr>
          <w:rFonts w:ascii="Tahoma" w:hAnsi="Tahoma"/>
          <w:b/>
          <w:bCs/>
          <w:sz w:val="20"/>
          <w:szCs w:val="20"/>
        </w:rPr>
        <w:t>Art. 13. Accelerazione del procedimento in conferenza di servizi</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Fino al 31 dicembre 2021, in tutti i casi in cui debba essere indetta una conferenza di servizi decisoria ai sensi dell’articolo 14, comma 2, della legge 7 agosto 1990, n. 241, è in facoltà delle amministrazioni procedenti di adottare lo strumento della conferenza semplificata di cui all’articolo 14 -bis della medesima legge, con le seguenti modificazioni:</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a) tutte le amministrazioni coinvolte rilasciano le determinazioni di competenza entro il termine perentorio di sessanta giorni;</w:t>
      </w:r>
      <w:r w:rsidRPr="00217CA3">
        <w:rPr>
          <w:rStyle w:val="apple-converted-space"/>
          <w:rFonts w:ascii="Tahoma" w:hAnsi="Tahoma"/>
          <w:sz w:val="20"/>
          <w:szCs w:val="20"/>
        </w:rPr>
        <w:t> </w:t>
      </w:r>
      <w:r w:rsidRPr="00217CA3">
        <w:rPr>
          <w:rFonts w:ascii="Tahoma" w:hAnsi="Tahoma"/>
          <w:sz w:val="20"/>
          <w:szCs w:val="20"/>
        </w:rPr>
        <w:br/>
        <w:t xml:space="preserve">b) al di fuori dei casi di cui all’articolo 14 -bis , comma 5, l’amministrazione procedente svolge, entro trenta giorni decorrenti dalla scadenza del termine per il rilascio delle determinazioni di competenza delle singole amministrazioni, con le modalità di cui all’articolo 14 -ter , comma 4, della legge n. 241 del 1990, una </w:t>
      </w:r>
      <w:r w:rsidRPr="00217CA3">
        <w:rPr>
          <w:rFonts w:ascii="Tahoma" w:hAnsi="Tahoma"/>
          <w:sz w:val="20"/>
          <w:szCs w:val="20"/>
        </w:rPr>
        <w:lastRenderedPageBreak/>
        <w:t>riunione telematica di tutte le amministrazioni coinvolte nella quale prende atto delle rispettive posizioni e procede senza ritardo alla stesura della determinazione motivata conclusiva della conferenza di servizi verso la quale può essere proposta opposizione dalle amministrazioni di cui all’articolo 14 -</w:t>
      </w:r>
      <w:proofErr w:type="spellStart"/>
      <w:r w:rsidRPr="00217CA3">
        <w:rPr>
          <w:rFonts w:ascii="Tahoma" w:hAnsi="Tahoma"/>
          <w:sz w:val="20"/>
          <w:szCs w:val="20"/>
        </w:rPr>
        <w:t>quinquies</w:t>
      </w:r>
      <w:proofErr w:type="spellEnd"/>
      <w:r w:rsidRPr="00217CA3">
        <w:rPr>
          <w:rFonts w:ascii="Tahoma" w:hAnsi="Tahoma"/>
          <w:sz w:val="20"/>
          <w:szCs w:val="20"/>
        </w:rPr>
        <w:t>, della legge n. 241 del 1990, ai sensi e nei termini ivi indicati. Si considera in ogni caso acquisito l’assenso senza condizioni delle amministrazioni che non abbiano partecipato alla riunione ovvero, pur partecipandovi, non abbiano espresso la propria posizione, ovvero abbiano espresso un dissenso non motivato o riferito a questioni che non costituiscono oggetto della conferenza.</w:t>
      </w:r>
      <w:r w:rsidRPr="00217CA3">
        <w:rPr>
          <w:rStyle w:val="apple-converted-space"/>
          <w:rFonts w:ascii="Tahoma" w:hAnsi="Tahoma"/>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2. Nei casi di cui agli articoli 1 e 2, ove si renda necessario riconvocare la conferenza di servizi sul livello successivo di progettazione tutti i termini sono ridotti della metà e gli ulteriori atti di autorizzazione, di assenso e i pareri comunque denominati, eventualmente necessari in fase di esecuzione, sono rilasciati in ogni caso nel termine di sessanta giorni dalla richiesta.</w:t>
      </w:r>
    </w:p>
    <w:p w:rsidR="00883ACB" w:rsidRPr="00217CA3" w:rsidRDefault="00883ACB" w:rsidP="00883ACB">
      <w:pPr>
        <w:pStyle w:val="NormaleWeb"/>
        <w:spacing w:before="240" w:beforeAutospacing="0" w:after="240" w:afterAutospacing="0" w:line="330" w:lineRule="atLeast"/>
        <w:rPr>
          <w:rFonts w:ascii="Oxygen-Regular" w:hAnsi="Oxygen-Regular"/>
        </w:rPr>
      </w:pPr>
    </w:p>
    <w:p w:rsidR="00883ACB" w:rsidRPr="00217CA3" w:rsidRDefault="00883ACB" w:rsidP="00883ACB">
      <w:pPr>
        <w:pStyle w:val="NormaleWeb"/>
        <w:shd w:val="clear" w:color="auto" w:fill="F5FDFE"/>
        <w:rPr>
          <w:rFonts w:ascii="Tahoma" w:hAnsi="Tahoma"/>
          <w:b/>
          <w:bCs/>
          <w:sz w:val="20"/>
          <w:szCs w:val="20"/>
        </w:rPr>
      </w:pPr>
      <w:r w:rsidRPr="00217CA3">
        <w:rPr>
          <w:rFonts w:ascii="Oxygen-Regular" w:hAnsi="Oxygen-Regular"/>
        </w:rPr>
        <w:t>Art. 14 - Disincentivi alla introduzione di nuovi oneri regolatori</w:t>
      </w:r>
      <w:r w:rsidRPr="00217CA3">
        <w:rPr>
          <w:rFonts w:ascii="Tahoma" w:hAnsi="Tahoma"/>
          <w:b/>
          <w:bCs/>
          <w:sz w:val="20"/>
          <w:szCs w:val="20"/>
        </w:rPr>
        <w:t xml:space="preserve"> </w:t>
      </w:r>
    </w:p>
    <w:p w:rsidR="00883ACB" w:rsidRPr="00217CA3" w:rsidRDefault="00883ACB" w:rsidP="00883ACB">
      <w:pPr>
        <w:pStyle w:val="NormaleWeb"/>
        <w:shd w:val="clear" w:color="auto" w:fill="F5FDFE"/>
        <w:rPr>
          <w:rFonts w:ascii="-webkit-standard" w:hAnsi="-webkit-standard"/>
        </w:rPr>
      </w:pPr>
      <w:r w:rsidRPr="00217CA3">
        <w:rPr>
          <w:rFonts w:ascii="Tahoma" w:hAnsi="Tahoma"/>
          <w:b/>
          <w:bCs/>
          <w:sz w:val="20"/>
          <w:szCs w:val="20"/>
        </w:rPr>
        <w:t>Art. 14. Disincentivi alla introduzione di nuovi oneri regolatori</w:t>
      </w:r>
      <w:r w:rsidRPr="00217CA3">
        <w:rPr>
          <w:rStyle w:val="apple-converted-space"/>
          <w:rFonts w:ascii="Tahoma" w:hAnsi="Tahoma"/>
          <w:b/>
          <w:bCs/>
          <w:sz w:val="20"/>
          <w:szCs w:val="20"/>
        </w:rPr>
        <w:t> </w:t>
      </w:r>
    </w:p>
    <w:p w:rsidR="00883ACB" w:rsidRPr="00217CA3" w:rsidRDefault="00883ACB" w:rsidP="00883ACB">
      <w:pPr>
        <w:pStyle w:val="NormaleWeb"/>
        <w:shd w:val="clear" w:color="auto" w:fill="F5FDFE"/>
        <w:rPr>
          <w:rFonts w:ascii="-webkit-standard" w:hAnsi="-webkit-standard"/>
        </w:rPr>
      </w:pPr>
      <w:r w:rsidRPr="00217CA3">
        <w:rPr>
          <w:rFonts w:ascii="Tahoma" w:hAnsi="Tahoma"/>
          <w:sz w:val="20"/>
          <w:szCs w:val="20"/>
        </w:rPr>
        <w:t>1. All’</w:t>
      </w:r>
      <w:hyperlink r:id="rId43" w:anchor="08" w:history="1">
        <w:r w:rsidRPr="00217CA3">
          <w:rPr>
            <w:rStyle w:val="Collegamentoipertestuale"/>
            <w:rFonts w:ascii="Tahoma" w:hAnsi="Tahoma"/>
            <w:color w:val="auto"/>
            <w:sz w:val="20"/>
            <w:szCs w:val="20"/>
          </w:rPr>
          <w:t>articolo 8 della legge 11 novembre 2011, n. 180</w:t>
        </w:r>
      </w:hyperlink>
      <w:r w:rsidRPr="00217CA3">
        <w:rPr>
          <w:rFonts w:ascii="Tahoma" w:hAnsi="Tahoma"/>
          <w:sz w:val="20"/>
          <w:szCs w:val="20"/>
        </w:rPr>
        <w:t>, dopo il comma 1 è inserito il seguente:</w:t>
      </w:r>
      <w:r w:rsidRPr="00217CA3">
        <w:rPr>
          <w:rStyle w:val="apple-converted-space"/>
          <w:rFonts w:ascii="Tahoma" w:hAnsi="Tahoma"/>
          <w:sz w:val="20"/>
          <w:szCs w:val="20"/>
        </w:rPr>
        <w:t> </w:t>
      </w:r>
      <w:r w:rsidRPr="00217CA3">
        <w:rPr>
          <w:rFonts w:ascii="Tahoma" w:hAnsi="Tahoma"/>
          <w:i/>
          <w:iCs/>
          <w:sz w:val="20"/>
          <w:szCs w:val="20"/>
        </w:rPr>
        <w:t>«1-bis. Per gli atti normativi di competenza statale, il costo derivante dall’introduzione degli oneri regolatori, compresi quelli informativi e amministrativi ed esclusi quelli che costituiscono livelli minimi per l’attuazione della regolazione europea, qualora non contestualmente compensato con una riduzione stimata di oneri di pari valore, è qualificato, salva deroga espressa, come onere fiscalmente detraibile, ferma restando la necessità della previa quantificazione delle minori entrate e della individuazione di un’idonea copertura finanziaria con norma di rango primario. Per gli atti normativi di iniziativa governativa, la stima del predetto costo è inclusa nell’ambito dell’analisi di impatto della regolamentazione di cui all’</w:t>
      </w:r>
      <w:hyperlink r:id="rId44" w:anchor="14" w:history="1">
        <w:r w:rsidRPr="00217CA3">
          <w:rPr>
            <w:rStyle w:val="Collegamentoipertestuale"/>
            <w:rFonts w:ascii="Tahoma" w:hAnsi="Tahoma"/>
            <w:i/>
            <w:iCs/>
            <w:color w:val="auto"/>
            <w:sz w:val="20"/>
            <w:szCs w:val="20"/>
          </w:rPr>
          <w:t>articolo 14 della legge 14 novembre 2005, n. 246.</w:t>
        </w:r>
      </w:hyperlink>
      <w:r w:rsidRPr="00217CA3">
        <w:rPr>
          <w:rFonts w:ascii="Tahoma" w:hAnsi="Tahoma"/>
          <w:i/>
          <w:iCs/>
          <w:sz w:val="20"/>
          <w:szCs w:val="20"/>
        </w:rPr>
        <w:t>»</w:t>
      </w:r>
      <w:r w:rsidRPr="00217CA3">
        <w:rPr>
          <w:rFonts w:ascii="Tahoma" w:hAnsi="Tahoma"/>
          <w:sz w:val="20"/>
          <w:szCs w:val="20"/>
        </w:rPr>
        <w:t>.</w:t>
      </w:r>
    </w:p>
    <w:p w:rsidR="00883ACB" w:rsidRPr="00217CA3" w:rsidRDefault="00883ACB" w:rsidP="00883ACB">
      <w:pPr>
        <w:pStyle w:val="NormaleWeb"/>
        <w:spacing w:before="240" w:beforeAutospacing="0" w:after="240" w:afterAutospacing="0" w:line="330" w:lineRule="atLeast"/>
        <w:rPr>
          <w:rFonts w:ascii="Oxygen-Regular" w:hAnsi="Oxygen-Regular"/>
        </w:rPr>
      </w:pP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15 - Agenda per la semplificazione, ricognizione e semplificazione dei procedimenti e modulistica standardizzata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16 - Disposizioni per facilitare l’esercizio del diritto di voto degli italiani all’estero nel referendum confermativo del testo di legge costituzionale, recante “Modifiche agli articoli 56, 57 e 59 della Costituzione in materia di riduzione del numero dei parlamentari”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 - Disposizioni in materia di enti locali e stato di emergenza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17 - Stabilità finanziaria degli enti locali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18 - Modifiche al decreto-legge 25 marzo 2020, n. 19, convertito, con modificazioni, dalla legge 22 maggio 2020, n. 35</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III - Semplificazioni concernenti l’organizzazione del sistema universitario e disposizioni concernenti il Corpo nazionale dei Vigili del fuoco</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19 - Misure di semplificazione in materia di organizzazione del sistema universitario</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20 - Disposizioni concernenti il Corpo nazionale dei vigili del fuoco)</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lastRenderedPageBreak/>
        <w:t>Capo IV - Responsabilità</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21 - Responsabilità erariale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22 - Controllo concomitante della Corte dei conti per accelerare gli interventi di sostegno e di rilancio dell’economia nazionale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23 - Modifiche all’articolo 323 del codice penale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TITOLO III MISURE DI SEMPLIFICAZIONE PER IL SOSTEGNO E LA DIFFUSIONE DELL’AMMINISTRAZIONE DIGITALE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 - Cittadinanza digitale e accesso ai servizi digitali della pubblica amministrazione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24 - Identità digitale, domicilio digitale e accesso ai servizi digitali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25 - Semplificazione in materia di conservazione dei documenti informatici e gestione dell’identità digitale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26 - Piattaforma per la notificazione digitale degli atti della pubblica amministrazione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27 - Misure per la semplificazione e la diffusione della firma elettronica avanzata e dell’identità digitale per l’accesso ai servizi bancari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28 - Semplificazione della notificazione e comunicazione telematica degli atti in materia civile, penale, amministrativa, contabile e stragiudiziale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29 - Disposizioni per favorire l’accesso delle persone con disabilità agli strumenti informatici e piattaforma unica nazionale informatica di targhe associate a permessi di circolazione dei titolari di contrassegni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30 - Misure di semplificazione in materia anagrafica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 - Norme generali per lo sviluppo dei sistemi informativi delle pubbliche amministrazioni e l’utilizzo del digitale nell’azione amministrativa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31 - Semplificazione dei sistemi informativi delle pubbliche amministrazioni e dell’attività di coordinamento nell’attuazione della strategia digitale e in materia di perimetro di sicurezza nazionale cibernetica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32 - Codice di condotta tecnologica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III - Strategia di gestione del patrimonio informativo pubblico per fini istituzionali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33 - Disponibilità e interoperabilità dei dati delle pubbliche amministrazioni e dei concessionari di pubblici servizi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lastRenderedPageBreak/>
        <w:t>Art. 34 - Semplificazione per la Piattaforma Digitale Nazionale Dati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35 - Consolidamento e razionalizzazione delle infrastrutture digitali del Paese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IV - Misure per l’innovazione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36 - Misure di semplificazione amministrativa per l’innovazione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37 - Disposizioni per favorire l’utilizzo della posta elettronica certificata nei rapporti tra Amministrazione, imprese e professionisti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TITOLO IV - SEMPLIFICAZIONI IN MATERIA DI ATTIVITA’ DI IMPRESA, AMBIENTE E GREEN ECONOMY</w:t>
      </w:r>
      <w:r w:rsidRPr="00217CA3">
        <w:rPr>
          <w:rStyle w:val="apple-converted-space"/>
          <w:rFonts w:ascii="Oxygen-Regular" w:hAnsi="Oxygen-Regular"/>
          <w:b/>
          <w:bCs/>
        </w:rPr>
        <w:t> </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 - Semplificazioni in materia di attività di impresa e investimenti pubblici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38 - Misure di semplificazione per reti e servizi di comunicazioni elettroniche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39 - Semplificazioni della misura Nuova Sabatini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40 - Semplificazione delle procedure di cancellazione dal registro delle imprese e dall’albo degli enti cooperativi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41 - Semplificazione del Sistema di monitoraggio degli investimenti pubblici e riduzione degli oneri informativi a carico delle Amministrazioni pubbliche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42 - Semplificazioni dell’attività del Comitato interministeriale per la programmazione economica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43 - Semplificazione per l’erogazione delle risorse pubbliche in agricoltura, in materia di controlli nonché’ di comunicazioni individuali dei provvedimenti adottati ai sensi dell’articolo 38, comma 7, del decreto-legge 6 luglio 2011, n. 98, convertito, con modificazioni, della legge 15 luglio 2011, n. 111</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44 - Misure a favore degli aumenti di capitale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 xml:space="preserve">Art. 45 - Proroga dei termini per assicurare la continuità del servizio svolto da Alitalia - Società Aerea Italiana S.p.A. e Alitalia </w:t>
      </w:r>
      <w:proofErr w:type="spellStart"/>
      <w:r w:rsidRPr="00217CA3">
        <w:rPr>
          <w:rFonts w:ascii="Oxygen-Regular" w:hAnsi="Oxygen-Regular"/>
        </w:rPr>
        <w:t>Cityliner</w:t>
      </w:r>
      <w:proofErr w:type="spellEnd"/>
      <w:r w:rsidRPr="00217CA3">
        <w:rPr>
          <w:rFonts w:ascii="Oxygen-Regular" w:hAnsi="Oxygen-Regular"/>
        </w:rPr>
        <w:t xml:space="preserve"> S.p.A. in amministrazione straordinaria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46 - Semplificazioni in materia di Zone Economiche Speciali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47 - Accelerazione nell’utilizzazione dei fondi nazionali ed europei per gli investimenti nella coesione e nelle riforme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48 - Disposizioni urgenti in materia di funzionalità delle Autorità di sistema portuale e delle Autorità di sistema portuale, di digitalizzazione della logistica portuale nonché’ di rilancio del settore della crocieristica, del cabotaggio marittimo e della nautica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lastRenderedPageBreak/>
        <w:t>Art. 49 - Disposizioni urgenti in materia di sicurezza delle infrastrutture stradali e autostradali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 - Semplificazioni in materia ambientale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50 - Razionalizzazione delle procedure di valutazione dell’impatto ambientale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51 - Semplificazioni in materia di VIA per interventi di incremento della sicurezza di infrastrutture stradali, autostradali, ferroviarie e idriche e di attuazione degli interventi infrastrutturali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52 - Semplificazione delle procedure per interventi e opere nei siti oggetto di bonifica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53 - Semplificazione delle procedure nei siti di interesse nazionale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54 - Misure di semplificazione in materia di interventi contro il dissesto idrogeologico</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55 - Semplificazione in materia di zone economiche ambientali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Style w:val="Enfasigrassetto"/>
          <w:rFonts w:ascii="Oxygen-Regular" w:hAnsi="Oxygen-Regular"/>
        </w:rPr>
        <w:t>Capo III - Semplificazioni in materia di green economy</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56 - Disposizioni di semplificazione in materia di interventi su progetti o impianti alimentati da fonti di energia rinnovabile e di taluni nuovi impianti, nonché’ di spalma incentivi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57 - Semplificazione delle norme per la realizzazione di punti e stazioni di ricarica di veicoli elettrici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58 - Trasferimenti statistici di energia rinnovabile dall’Italia ad altri paesi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59 - Meccanismo dello scambio sul posto altrove per piccoli Comuni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60 - Semplificazione dei procedimenti autorizzativi delle infrastrutture delle reti energetiche nazionali</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61 - Semplificazione dei procedimenti autorizzativi delle infrastrutture della rete di distribuzione elettrica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62 - Semplificazione dei procedimenti per l’adeguamento di impianti di produzione e accumulo di energia</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63 - Programma straordinario di manutenzione del territorio forestale e montano, interventi infrastrutturali irrigui e bacini di raccolta delle acque</w:t>
      </w:r>
    </w:p>
    <w:p w:rsidR="00883ACB" w:rsidRPr="00217CA3" w:rsidRDefault="00883ACB" w:rsidP="00883ACB">
      <w:pPr>
        <w:pStyle w:val="NormaleWeb"/>
        <w:spacing w:before="240" w:beforeAutospacing="0" w:after="240" w:afterAutospacing="0" w:line="330" w:lineRule="atLeast"/>
        <w:rPr>
          <w:rFonts w:ascii="Oxygen-Regular" w:hAnsi="Oxygen-Regular"/>
        </w:rPr>
      </w:pPr>
      <w:r w:rsidRPr="00217CA3">
        <w:rPr>
          <w:rFonts w:ascii="Oxygen-Regular" w:hAnsi="Oxygen-Regular"/>
        </w:rPr>
        <w:t>Art. 64 - Semplificazioni per il rilascio delle garanzie sui finanziamenti a favore di progetti del green new deal</w:t>
      </w:r>
    </w:p>
    <w:p w:rsidR="00CE0F0E" w:rsidRPr="00217CA3" w:rsidRDefault="00883ACB" w:rsidP="00941229">
      <w:pPr>
        <w:pStyle w:val="NormaleWeb"/>
        <w:spacing w:before="240" w:beforeAutospacing="0" w:after="240" w:afterAutospacing="0" w:line="330" w:lineRule="atLeast"/>
        <w:rPr>
          <w:rFonts w:ascii="Oxygen-Regular" w:hAnsi="Oxygen-Regular"/>
        </w:rPr>
      </w:pPr>
      <w:r w:rsidRPr="00217CA3">
        <w:rPr>
          <w:rFonts w:ascii="Oxygen-Regular" w:hAnsi="Oxygen-Regular"/>
        </w:rPr>
        <w:t>Art. 65 - Entrata in vigore</w:t>
      </w:r>
    </w:p>
    <w:sectPr w:rsidR="00CE0F0E" w:rsidRPr="00217CA3" w:rsidSect="00762293">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70F21" w:rsidRDefault="00E70F21" w:rsidP="0015225C">
      <w:r>
        <w:separator/>
      </w:r>
    </w:p>
  </w:endnote>
  <w:endnote w:type="continuationSeparator" w:id="0">
    <w:p w:rsidR="00E70F21" w:rsidRDefault="00E70F21" w:rsidP="001522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Oxygen-Regular">
    <w:altName w:val="Cambria"/>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ebkit-standard">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70F21" w:rsidRDefault="00E70F21" w:rsidP="0015225C">
      <w:r>
        <w:separator/>
      </w:r>
    </w:p>
  </w:footnote>
  <w:footnote w:type="continuationSeparator" w:id="0">
    <w:p w:rsidR="00E70F21" w:rsidRDefault="00E70F21" w:rsidP="0015225C">
      <w:r>
        <w:continuationSeparator/>
      </w:r>
    </w:p>
  </w:footnote>
  <w:footnote w:id="1">
    <w:p w:rsidR="0060283D" w:rsidRPr="0015225C" w:rsidRDefault="0060283D" w:rsidP="00170FA6">
      <w:pPr>
        <w:pStyle w:val="NormaleWeb"/>
        <w:shd w:val="clear" w:color="auto" w:fill="F5FDFE"/>
        <w:rPr>
          <w:rFonts w:ascii="-webkit-standard" w:hAnsi="-webkit-standard"/>
          <w:color w:val="000000"/>
          <w:sz w:val="16"/>
          <w:szCs w:val="16"/>
        </w:rPr>
      </w:pPr>
      <w:r w:rsidRPr="0015225C">
        <w:rPr>
          <w:rStyle w:val="Rimandonotaapidipagina"/>
          <w:sz w:val="16"/>
          <w:szCs w:val="16"/>
        </w:rPr>
        <w:footnoteRef/>
      </w:r>
      <w:r w:rsidRPr="0015225C">
        <w:rPr>
          <w:sz w:val="16"/>
          <w:szCs w:val="16"/>
        </w:rPr>
        <w:t xml:space="preserve"> </w:t>
      </w:r>
      <w:r w:rsidRPr="0015225C">
        <w:rPr>
          <w:rFonts w:ascii="Calibri" w:hAnsi="Calibri"/>
          <w:b/>
          <w:bCs/>
          <w:color w:val="000000"/>
          <w:sz w:val="16"/>
          <w:szCs w:val="16"/>
        </w:rPr>
        <w:t>Art.</w:t>
      </w:r>
      <w:r w:rsidRPr="0015225C">
        <w:rPr>
          <w:rStyle w:val="apple-converted-space"/>
          <w:rFonts w:ascii="Calibri" w:hAnsi="Calibri"/>
          <w:b/>
          <w:bCs/>
          <w:color w:val="000000"/>
          <w:sz w:val="16"/>
          <w:szCs w:val="16"/>
        </w:rPr>
        <w:t> </w:t>
      </w:r>
      <w:bookmarkStart w:id="1" w:name="002-bis"/>
      <w:r w:rsidRPr="0015225C">
        <w:rPr>
          <w:rFonts w:ascii="Calibri" w:hAnsi="Calibri"/>
          <w:b/>
          <w:bCs/>
          <w:color w:val="000000"/>
          <w:sz w:val="16"/>
          <w:szCs w:val="16"/>
        </w:rPr>
        <w:t>2-bis</w:t>
      </w:r>
      <w:bookmarkEnd w:id="1"/>
      <w:r w:rsidRPr="0015225C">
        <w:rPr>
          <w:rFonts w:ascii="Calibri" w:hAnsi="Calibri"/>
          <w:b/>
          <w:bCs/>
          <w:color w:val="000000"/>
          <w:sz w:val="16"/>
          <w:szCs w:val="16"/>
        </w:rPr>
        <w:t>. (L) - Deroghe in materia di limiti di distanza tra fabbricati</w:t>
      </w:r>
    </w:p>
    <w:p w:rsidR="0060283D" w:rsidRPr="0015225C" w:rsidRDefault="0060283D" w:rsidP="00170FA6">
      <w:pPr>
        <w:pStyle w:val="NormaleWeb"/>
        <w:shd w:val="clear" w:color="auto" w:fill="F5FDFE"/>
        <w:rPr>
          <w:rFonts w:ascii="-webkit-standard" w:hAnsi="-webkit-standard"/>
          <w:color w:val="000000"/>
          <w:sz w:val="16"/>
          <w:szCs w:val="16"/>
        </w:rPr>
      </w:pPr>
      <w:r w:rsidRPr="0015225C">
        <w:rPr>
          <w:rFonts w:ascii="Calibri" w:hAnsi="Calibri"/>
          <w:color w:val="000000"/>
          <w:sz w:val="16"/>
          <w:szCs w:val="16"/>
        </w:rPr>
        <w:t>1. Ferma restando la competenza statale in materia di ordinamento civile con riferimento al diritto di proprietà e alle connesse norme del codice civile e alle disposizioni integrative, le regioni e le province autonome di Trento e di Bolzano possono prevedere, con proprie leggi e regolamenti, disposizioni derogatorie al</w:t>
      </w:r>
      <w:r w:rsidRPr="0015225C">
        <w:rPr>
          <w:rStyle w:val="apple-converted-space"/>
          <w:rFonts w:ascii="Calibri" w:hAnsi="Calibri"/>
          <w:color w:val="000000"/>
          <w:sz w:val="16"/>
          <w:szCs w:val="16"/>
        </w:rPr>
        <w:t> </w:t>
      </w:r>
      <w:hyperlink r:id="rId1" w:history="1">
        <w:r w:rsidRPr="0015225C">
          <w:rPr>
            <w:rStyle w:val="Collegamentoipertestuale"/>
            <w:rFonts w:ascii="Calibri" w:hAnsi="Calibri"/>
            <w:sz w:val="16"/>
            <w:szCs w:val="16"/>
          </w:rPr>
          <w:t>decreto del Ministro dei lavori pubblici 2 aprile 1968, n. 1444</w:t>
        </w:r>
      </w:hyperlink>
      <w:r w:rsidRPr="0015225C">
        <w:rPr>
          <w:rFonts w:ascii="Calibri" w:hAnsi="Calibri"/>
          <w:color w:val="000000"/>
          <w:sz w:val="16"/>
          <w:szCs w:val="16"/>
        </w:rPr>
        <w:t>, e possono dettare disposizioni sugli spazi da destinare agli insediamenti residenziali, a quelli produttivi, a quelli riservati alle attività collettive, al verde e ai parcheggi, nell’ambito della definizione o revisione di strumenti urbanistici comunque funzionali a un assetto complessivo e unitario o di specifiche aree territoriali.</w:t>
      </w:r>
      <w:r w:rsidRPr="0015225C">
        <w:rPr>
          <w:rFonts w:ascii="Calibri" w:hAnsi="Calibri"/>
          <w:color w:val="000000"/>
          <w:sz w:val="16"/>
          <w:szCs w:val="16"/>
        </w:rPr>
        <w:br/>
      </w:r>
      <w:r w:rsidRPr="0015225C">
        <w:rPr>
          <w:rFonts w:ascii="Calibri" w:hAnsi="Calibri"/>
          <w:i/>
          <w:iCs/>
          <w:color w:val="FF0000"/>
          <w:sz w:val="16"/>
          <w:szCs w:val="16"/>
        </w:rPr>
        <w:t>(Ai sensi dell'art. 5, comma 1, lettera b-bis), della legge n. 55 del 2019, le disposizioni di cui all’articolo 9, commi secondo e terzo, del decreto del Ministro dei lavori pubblici 2 aprile 1968, n. 1444, si interpretano nel senso che i limiti di distanza tra i fabbricati ivi previsti si considerano riferiti esclusivamente alla zona di cui al primo comma, numero 3), dello stesso articolo 9)</w:t>
      </w:r>
    </w:p>
    <w:p w:rsidR="0060283D" w:rsidRPr="00783DBF" w:rsidRDefault="0060283D" w:rsidP="00170FA6">
      <w:pPr>
        <w:pStyle w:val="NormaleWeb"/>
        <w:shd w:val="clear" w:color="auto" w:fill="F5FDFE"/>
        <w:rPr>
          <w:rFonts w:ascii="-webkit-standard" w:hAnsi="-webkit-standard"/>
          <w:color w:val="000000"/>
          <w:sz w:val="16"/>
          <w:szCs w:val="16"/>
        </w:rPr>
      </w:pPr>
      <w:r w:rsidRPr="00783DBF">
        <w:rPr>
          <w:rFonts w:ascii="Calibri" w:hAnsi="Calibri"/>
          <w:color w:val="000000"/>
          <w:sz w:val="16"/>
          <w:szCs w:val="16"/>
        </w:rPr>
        <w:t>1-bis. Le disposizioni del comma 1 sono finalizzate a orientare i comuni nella definizione di limiti di densità edilizia, altezza e distanza dei fabbricati negli ambiti urbani consolidati del proprio territorio.</w:t>
      </w:r>
      <w:r w:rsidRPr="00783DBF">
        <w:rPr>
          <w:rFonts w:ascii="Calibri" w:hAnsi="Calibri"/>
          <w:color w:val="000000"/>
          <w:sz w:val="16"/>
          <w:szCs w:val="16"/>
        </w:rPr>
        <w:br/>
      </w:r>
      <w:r w:rsidRPr="00783DBF">
        <w:rPr>
          <w:rFonts w:ascii="Calibri" w:hAnsi="Calibri"/>
          <w:i/>
          <w:iCs/>
          <w:color w:val="FF0000"/>
          <w:sz w:val="16"/>
          <w:szCs w:val="16"/>
        </w:rPr>
        <w:t>(comma aggiunto dall'art. 5, comma 1, legge n. 55 del 2019)</w:t>
      </w:r>
    </w:p>
    <w:p w:rsidR="0060283D" w:rsidRPr="0015225C" w:rsidRDefault="0060283D" w:rsidP="00170FA6">
      <w:pPr>
        <w:pStyle w:val="NormaleWeb"/>
        <w:shd w:val="clear" w:color="auto" w:fill="F5FDFE"/>
        <w:rPr>
          <w:rFonts w:ascii="-webkit-standard" w:hAnsi="-webkit-standard"/>
          <w:color w:val="000000"/>
          <w:sz w:val="20"/>
          <w:szCs w:val="20"/>
        </w:rPr>
      </w:pPr>
      <w:r w:rsidRPr="00783DBF">
        <w:rPr>
          <w:rFonts w:ascii="Calibri" w:hAnsi="Calibri"/>
          <w:strike/>
          <w:color w:val="000000"/>
          <w:sz w:val="16"/>
          <w:szCs w:val="16"/>
        </w:rPr>
        <w:t>1-ter. In ogni caso di intervento di demolizione e ricostruzione, quest’ultima è comunque consentita nel rispetto delle distanze legittimamente preesistenti purché sia effettuata assicurando la coincidenza dell’area di sedime e del volume dell’edificio ricostruito con quello demolito, nei limiti dell’altezza massima di quest’ultimo.</w:t>
      </w:r>
      <w:r w:rsidRPr="00783DBF">
        <w:rPr>
          <w:rFonts w:ascii="Calibri" w:hAnsi="Calibri"/>
          <w:b/>
          <w:bCs/>
          <w:color w:val="000000"/>
          <w:sz w:val="16"/>
          <w:szCs w:val="16"/>
        </w:rPr>
        <w:br/>
      </w:r>
      <w:r w:rsidRPr="00783DBF">
        <w:rPr>
          <w:rFonts w:ascii="Calibri" w:hAnsi="Calibri"/>
          <w:i/>
          <w:iCs/>
          <w:color w:val="FF0000"/>
          <w:sz w:val="16"/>
          <w:szCs w:val="16"/>
        </w:rPr>
        <w:t>(comma aggiunto dall'art. 5, comma 1, legge n. 55 del 2019)</w:t>
      </w:r>
      <w:r w:rsidRPr="00783DBF">
        <w:rPr>
          <w:rFonts w:ascii="Calibri" w:hAnsi="Calibri"/>
          <w:i/>
          <w:iCs/>
          <w:color w:val="FF0000"/>
          <w:sz w:val="16"/>
          <w:szCs w:val="16"/>
        </w:rPr>
        <w:br/>
      </w:r>
      <w:r w:rsidRPr="00783DBF">
        <w:rPr>
          <w:rFonts w:ascii="Calibri" w:hAnsi="Calibri"/>
          <w:b/>
          <w:bCs/>
          <w:color w:val="000000"/>
          <w:sz w:val="16"/>
          <w:szCs w:val="16"/>
        </w:rPr>
        <w:t>1-ter. In ogni caso di intervento che preveda la demolizione e ricostruzione di edifici, anche qualora le dimensioni del lotto di pertinenza non consentano la modifica dell’area di sedime ai fini del rispetto delle distanze minime tra gli edifici e dai confini, la ricostruzione è comunque consentita nell’osservanza delle distanze legittimamente preesistenti. Gli incentivi volumetrici eventualmente riconosciuti per l’intervento possono essere realizzati anche con ampliamenti fuori sagoma e con il superamento dell’altezza massima dell’edificio demolito, sempre nel rispetto delle distanze legittimamente preesistenti. Nelle</w:t>
      </w:r>
      <w:r w:rsidRPr="00783DBF">
        <w:rPr>
          <w:rStyle w:val="apple-converted-space"/>
          <w:rFonts w:ascii="Calibri" w:hAnsi="Calibri"/>
          <w:b/>
          <w:bCs/>
          <w:color w:val="000000"/>
          <w:sz w:val="16"/>
          <w:szCs w:val="16"/>
        </w:rPr>
        <w:t> </w:t>
      </w:r>
      <w:hyperlink r:id="rId2" w:history="1">
        <w:r w:rsidRPr="00783DBF">
          <w:rPr>
            <w:rStyle w:val="Collegamentoipertestuale"/>
            <w:rFonts w:ascii="Calibri" w:hAnsi="Calibri"/>
            <w:b/>
            <w:bCs/>
            <w:sz w:val="16"/>
            <w:szCs w:val="16"/>
          </w:rPr>
          <w:t>zone omogenee A</w:t>
        </w:r>
      </w:hyperlink>
      <w:r w:rsidRPr="00783DBF">
        <w:rPr>
          <w:rFonts w:ascii="Calibri" w:hAnsi="Calibri"/>
          <w:b/>
          <w:bCs/>
          <w:color w:val="000000"/>
          <w:sz w:val="16"/>
          <w:szCs w:val="16"/>
        </w:rPr>
        <w:t>, gli interventi di demolizione e ricostruzione, sono consentite esclusivamente nell’ambito di piani urbanistici di recupero e di riqualificazione particolareggiati, di competenza comunale, fatte salve le previsioni degli strumenti di pianificazione urbanistica vigenti.</w:t>
      </w:r>
      <w:r w:rsidRPr="00783DBF">
        <w:rPr>
          <w:rFonts w:ascii="Calibri" w:hAnsi="Calibri"/>
          <w:b/>
          <w:bCs/>
          <w:color w:val="000000"/>
          <w:sz w:val="16"/>
          <w:szCs w:val="16"/>
        </w:rPr>
        <w:br/>
      </w:r>
      <w:r w:rsidRPr="00783DBF">
        <w:rPr>
          <w:rFonts w:ascii="Calibri" w:hAnsi="Calibri"/>
          <w:i/>
          <w:iCs/>
          <w:color w:val="FF0000"/>
          <w:sz w:val="16"/>
          <w:szCs w:val="16"/>
        </w:rPr>
        <w:t>(comma aggiunto dall'</w:t>
      </w:r>
      <w:hyperlink r:id="rId3" w:anchor="10" w:history="1">
        <w:r w:rsidRPr="00783DBF">
          <w:rPr>
            <w:rStyle w:val="Collegamentoipertestuale"/>
            <w:rFonts w:ascii="Calibri" w:hAnsi="Calibri"/>
            <w:i/>
            <w:iCs/>
            <w:sz w:val="16"/>
            <w:szCs w:val="16"/>
          </w:rPr>
          <w:t>art. 10, comma 1, lettera a), del decreto-legge n. 76 del 2020</w:t>
        </w:r>
      </w:hyperlink>
      <w:r w:rsidRPr="00783DBF">
        <w:rPr>
          <w:rFonts w:ascii="Calibri" w:hAnsi="Calibri"/>
          <w:i/>
          <w:iCs/>
          <w:color w:val="FF0000"/>
          <w:sz w:val="16"/>
          <w:szCs w:val="16"/>
        </w:rPr>
        <w:t>)</w:t>
      </w:r>
    </w:p>
  </w:footnote>
  <w:footnote w:id="2">
    <w:p w:rsidR="0060283D" w:rsidRPr="0015225C" w:rsidRDefault="0060283D" w:rsidP="0015225C">
      <w:pPr>
        <w:pStyle w:val="NormaleWeb"/>
        <w:shd w:val="clear" w:color="auto" w:fill="F5FDFE"/>
        <w:rPr>
          <w:rFonts w:ascii="-webkit-standard" w:hAnsi="-webkit-standard"/>
          <w:color w:val="000000"/>
          <w:sz w:val="16"/>
          <w:szCs w:val="16"/>
        </w:rPr>
      </w:pPr>
      <w:r>
        <w:rPr>
          <w:rStyle w:val="Rimandonotaapidipagina"/>
        </w:rPr>
        <w:footnoteRef/>
      </w:r>
      <w:r>
        <w:t xml:space="preserve"> </w:t>
      </w:r>
      <w:bookmarkStart w:id="2" w:name="003"/>
      <w:r w:rsidRPr="0015225C">
        <w:rPr>
          <w:rFonts w:ascii="Calibri" w:hAnsi="Calibri"/>
          <w:b/>
          <w:bCs/>
          <w:color w:val="000000"/>
          <w:sz w:val="16"/>
          <w:szCs w:val="16"/>
        </w:rPr>
        <w:t>Art. 3 (L) - Definizioni degli interventi edilizi</w:t>
      </w:r>
      <w:bookmarkEnd w:id="2"/>
    </w:p>
    <w:p w:rsidR="0060283D" w:rsidRPr="0015225C" w:rsidRDefault="0060283D" w:rsidP="0015225C">
      <w:pPr>
        <w:pStyle w:val="NormaleWeb"/>
        <w:shd w:val="clear" w:color="auto" w:fill="F5FDFE"/>
        <w:rPr>
          <w:rFonts w:ascii="-webkit-standard" w:hAnsi="-webkit-standard"/>
          <w:color w:val="000000"/>
          <w:sz w:val="16"/>
          <w:szCs w:val="16"/>
        </w:rPr>
      </w:pPr>
      <w:r w:rsidRPr="0015225C">
        <w:rPr>
          <w:rFonts w:ascii="Calibri" w:hAnsi="Calibri"/>
          <w:color w:val="000000"/>
          <w:sz w:val="16"/>
          <w:szCs w:val="16"/>
        </w:rPr>
        <w:t>1. Ai fini del presente testo unico si intendono per:</w:t>
      </w:r>
    </w:p>
    <w:p w:rsidR="0060283D" w:rsidRPr="0015225C" w:rsidRDefault="0060283D" w:rsidP="0015225C">
      <w:pPr>
        <w:pStyle w:val="NormaleWeb"/>
        <w:shd w:val="clear" w:color="auto" w:fill="F5FDFE"/>
        <w:rPr>
          <w:rFonts w:ascii="-webkit-standard" w:hAnsi="-webkit-standard"/>
          <w:color w:val="000000"/>
          <w:sz w:val="16"/>
          <w:szCs w:val="16"/>
        </w:rPr>
      </w:pPr>
      <w:r w:rsidRPr="0015225C">
        <w:rPr>
          <w:rFonts w:ascii="Calibri" w:hAnsi="Calibri"/>
          <w:color w:val="000000"/>
          <w:sz w:val="16"/>
          <w:szCs w:val="16"/>
        </w:rPr>
        <w:t>a) "interventi di manutenzione ordinaria", gli interventi edilizi che riguardano le opere di riparazione, rinnovamento e sostituzione delle finiture degli edifici e quelle necessarie ad integrare o mantenere in efficienza gli impianti tecnologici esistenti;</w:t>
      </w:r>
      <w:r w:rsidRPr="0015225C">
        <w:rPr>
          <w:rFonts w:ascii="Calibri" w:hAnsi="Calibri"/>
          <w:color w:val="000000"/>
          <w:sz w:val="16"/>
          <w:szCs w:val="16"/>
        </w:rPr>
        <w:br/>
        <w:t>b) "interventi di manutenzione straordinaria", le opere e le modifiche necessarie per rinnovare e sostituire parti anche strutturali degli edifici, nonché per realizzare ed integrare i servizi igienico-sanitari e tecnologici, sempre che non alterino la volumetria complessiva degli edifici</w:t>
      </w:r>
      <w:r w:rsidRPr="0015225C">
        <w:rPr>
          <w:rStyle w:val="apple-converted-space"/>
          <w:rFonts w:ascii="Calibri" w:hAnsi="Calibri"/>
          <w:color w:val="000000"/>
          <w:sz w:val="16"/>
          <w:szCs w:val="16"/>
        </w:rPr>
        <w:t> </w:t>
      </w:r>
      <w:r w:rsidRPr="0015225C">
        <w:rPr>
          <w:rFonts w:ascii="Calibri" w:hAnsi="Calibri"/>
          <w:strike/>
          <w:color w:val="000000"/>
          <w:sz w:val="16"/>
          <w:szCs w:val="16"/>
        </w:rPr>
        <w:t>e non comportino modifiche delle destinazioni di uso</w:t>
      </w:r>
      <w:r w:rsidRPr="0015225C">
        <w:rPr>
          <w:rStyle w:val="apple-converted-space"/>
          <w:rFonts w:ascii="Calibri" w:hAnsi="Calibri"/>
          <w:b/>
          <w:bCs/>
          <w:color w:val="000000"/>
          <w:sz w:val="16"/>
          <w:szCs w:val="16"/>
        </w:rPr>
        <w:t> </w:t>
      </w:r>
      <w:r w:rsidRPr="0015225C">
        <w:rPr>
          <w:rFonts w:ascii="Calibri" w:hAnsi="Calibri"/>
          <w:b/>
          <w:bCs/>
          <w:color w:val="000000"/>
          <w:sz w:val="16"/>
          <w:szCs w:val="16"/>
        </w:rPr>
        <w:t>e non comportino mutamenti urbanisticamente rilevanti delle destinazioni d’uso implicanti incremento del carico urbanistico</w:t>
      </w:r>
      <w:r w:rsidRPr="0015225C">
        <w:rPr>
          <w:rFonts w:ascii="Calibri" w:hAnsi="Calibri"/>
          <w:color w:val="000000"/>
          <w:sz w:val="16"/>
          <w:szCs w:val="16"/>
        </w:rPr>
        <w:t>. Nell'ambito degli interventi di manutenzione straordinaria sono ricompresi anche quelli consistenti nel frazionamento o accorpamento delle unità immobiliari con esecuzione di opere anche se comportanti la variazione delle superfici delle singole unità immobiliari nonché del carico urbanistico purché non sia modificata la volumetria complessiva degli edifici e si mantenga l'originaria destinazione d'uso.</w:t>
      </w:r>
      <w:r w:rsidRPr="0015225C">
        <w:rPr>
          <w:rStyle w:val="apple-converted-space"/>
          <w:rFonts w:ascii="Calibri" w:hAnsi="Calibri"/>
          <w:color w:val="000000"/>
          <w:sz w:val="16"/>
          <w:szCs w:val="16"/>
        </w:rPr>
        <w:t> </w:t>
      </w:r>
      <w:r w:rsidRPr="0015225C">
        <w:rPr>
          <w:rFonts w:ascii="Calibri" w:hAnsi="Calibri"/>
          <w:b/>
          <w:bCs/>
          <w:color w:val="000000"/>
          <w:sz w:val="16"/>
          <w:szCs w:val="16"/>
        </w:rPr>
        <w:t>Nell’ambito degli interventi di manutenzione straordinaria sono comprese anche le modifiche ai prospetti degli edifici legittimamente realizzati necessarie per mantenere o acquisire l’agibilità dell’edificio ovvero per l’accesso allo stesso, che non pregiudichino il decoro architettonico dell’edificio, purché l’intervento risulti conforme alla vigente disciplina urbanistica ed edilizia e non abbia ad oggetto immobili sottoposti a tutela ai sensi del</w:t>
      </w:r>
      <w:r w:rsidRPr="0015225C">
        <w:rPr>
          <w:rStyle w:val="apple-converted-space"/>
          <w:rFonts w:ascii="Calibri" w:hAnsi="Calibri"/>
          <w:b/>
          <w:bCs/>
          <w:color w:val="000000"/>
          <w:sz w:val="16"/>
          <w:szCs w:val="16"/>
        </w:rPr>
        <w:t> </w:t>
      </w:r>
      <w:hyperlink r:id="rId4" w:history="1">
        <w:r w:rsidRPr="0015225C">
          <w:rPr>
            <w:rStyle w:val="Collegamentoipertestuale"/>
            <w:rFonts w:ascii="Calibri" w:hAnsi="Calibri"/>
            <w:b/>
            <w:bCs/>
            <w:sz w:val="16"/>
            <w:szCs w:val="16"/>
          </w:rPr>
          <w:t>Codice dei beni culturali e del paesaggio di cui al decreto legislativo 22 gennaio 2004, n. 42</w:t>
        </w:r>
      </w:hyperlink>
      <w:r w:rsidRPr="0015225C">
        <w:rPr>
          <w:rFonts w:ascii="Calibri" w:hAnsi="Calibri"/>
          <w:b/>
          <w:bCs/>
          <w:color w:val="000000"/>
          <w:sz w:val="16"/>
          <w:szCs w:val="16"/>
        </w:rPr>
        <w:t>;</w:t>
      </w:r>
      <w:r w:rsidRPr="0015225C">
        <w:rPr>
          <w:rFonts w:ascii="Calibri" w:hAnsi="Calibri"/>
          <w:b/>
          <w:bCs/>
          <w:color w:val="000000"/>
          <w:sz w:val="16"/>
          <w:szCs w:val="16"/>
        </w:rPr>
        <w:br/>
      </w:r>
      <w:r w:rsidRPr="0015225C">
        <w:rPr>
          <w:rFonts w:ascii="Calibri" w:hAnsi="Calibri"/>
          <w:i/>
          <w:iCs/>
          <w:color w:val="FF0000"/>
          <w:sz w:val="16"/>
          <w:szCs w:val="16"/>
        </w:rPr>
        <w:t>(lettera così modificata dall'</w:t>
      </w:r>
      <w:hyperlink r:id="rId5" w:anchor="10" w:history="1">
        <w:r w:rsidRPr="0015225C">
          <w:rPr>
            <w:rStyle w:val="Collegamentoipertestuale"/>
            <w:rFonts w:ascii="Calibri" w:hAnsi="Calibri"/>
            <w:i/>
            <w:iCs/>
            <w:sz w:val="16"/>
            <w:szCs w:val="16"/>
          </w:rPr>
          <w:t>art. 10, comma 1, lettera b), del decreto-legge n. 76 del 2020</w:t>
        </w:r>
      </w:hyperlink>
      <w:r w:rsidRPr="0015225C">
        <w:rPr>
          <w:rFonts w:ascii="Calibri" w:hAnsi="Calibri"/>
          <w:i/>
          <w:iCs/>
          <w:color w:val="FF0000"/>
          <w:sz w:val="16"/>
          <w:szCs w:val="16"/>
        </w:rPr>
        <w:t>)</w:t>
      </w:r>
      <w:r w:rsidRPr="0015225C">
        <w:rPr>
          <w:rFonts w:ascii="Calibri" w:hAnsi="Calibri"/>
          <w:i/>
          <w:iCs/>
          <w:color w:val="FF0000"/>
          <w:sz w:val="16"/>
          <w:szCs w:val="16"/>
        </w:rPr>
        <w:br/>
      </w:r>
      <w:r w:rsidRPr="0015225C">
        <w:rPr>
          <w:rFonts w:ascii="Calibri" w:hAnsi="Calibri"/>
          <w:color w:val="000000"/>
          <w:sz w:val="16"/>
          <w:szCs w:val="16"/>
        </w:rPr>
        <w:t>c) "interventi di restauro e di risanamento conservativo", gli interventi edilizi rivolti a conservare l'organismo edilizio e ad assicurarne la funzionalità mediante un insieme sistematico di opere che, nel rispetto degli elementi tipologici, formali e strutturali dell'organismo stesso, ne consentano anche il mutamento delle destinazioni d'uso purché con tali elementi compatibili, nonché conformi a quelle previste dallo strumento urbanistico generale e dai relativi piani attuativi. Tali interventi comprendono il consolidamento, il ripristino e il rinnovo degli elementi costitutivi dell'edificio, l'inserimento degli elementi accessori e degli impianti richiesti dalle esigenze dell'uso, l'eliminazione degli elementi estranei all'organismo edilizio;</w:t>
      </w:r>
      <w:r w:rsidRPr="0015225C">
        <w:rPr>
          <w:rFonts w:ascii="Calibri" w:hAnsi="Calibri"/>
          <w:color w:val="000000"/>
          <w:sz w:val="16"/>
          <w:szCs w:val="16"/>
        </w:rPr>
        <w:br/>
      </w:r>
      <w:r w:rsidRPr="0015225C">
        <w:rPr>
          <w:rFonts w:ascii="Calibri" w:hAnsi="Calibri"/>
          <w:i/>
          <w:iCs/>
          <w:color w:val="FF0000"/>
          <w:sz w:val="16"/>
          <w:szCs w:val="16"/>
        </w:rPr>
        <w:t>(lettera modificata dall'art. 65-bis della legge n. 96 del 2017)</w:t>
      </w:r>
      <w:r w:rsidRPr="0015225C">
        <w:rPr>
          <w:rFonts w:ascii="Calibri" w:hAnsi="Calibri"/>
          <w:i/>
          <w:iCs/>
          <w:color w:val="FF0000"/>
          <w:sz w:val="16"/>
          <w:szCs w:val="16"/>
        </w:rPr>
        <w:br/>
      </w:r>
      <w:r w:rsidRPr="0015225C">
        <w:rPr>
          <w:rFonts w:ascii="Calibri" w:hAnsi="Calibri"/>
          <w:color w:val="000000"/>
          <w:sz w:val="16"/>
          <w:szCs w:val="16"/>
        </w:rPr>
        <w:t>d) "interventi di ristrutturazione edilizia", gli interventi rivolti a trasformare gli organismi edilizi mediante un insieme sistematico di opere che possono portare ad un organismo edilizio in tutto o in parte diverso dal precedente. Tali interventi comprendono il ripristino o la sostituzione di alcuni elementi costitutivi dell'edificio, l’eliminazione, la modifica e l'inserimento di nuovi elementi ed impianti.</w:t>
      </w:r>
      <w:r w:rsidRPr="0015225C">
        <w:rPr>
          <w:rStyle w:val="apple-converted-space"/>
          <w:rFonts w:ascii="Calibri" w:hAnsi="Calibri"/>
          <w:color w:val="000000"/>
          <w:sz w:val="16"/>
          <w:szCs w:val="16"/>
        </w:rPr>
        <w:t> </w:t>
      </w:r>
      <w:r w:rsidRPr="0015225C">
        <w:rPr>
          <w:rFonts w:ascii="Calibri" w:hAnsi="Calibri"/>
          <w:strike/>
          <w:color w:val="000000"/>
          <w:sz w:val="16"/>
          <w:szCs w:val="16"/>
        </w:rPr>
        <w:t>Nell’ambito degli interventi di ristrutturazione edilizia sono ricompresi anche quelli consistenti nella demolizione e ricostruzione con la stessa volumetria di quello preesistente, fatte salve le sole innovazioni necessarie per l'adeguamento alla normativa antisismica nonché quelli volti al ripristino di edifici, o parti di essi, eventualmente crollati o demoliti, attraverso la loro ricostruzione, purché sia possibile accertarne la preesistente consistenza. Rimane fermo che, con riferimento agli immobili sottoposti a vincoli ai sensi del</w:t>
      </w:r>
      <w:r w:rsidRPr="0015225C">
        <w:rPr>
          <w:rStyle w:val="apple-converted-space"/>
          <w:rFonts w:ascii="Calibri" w:hAnsi="Calibri"/>
          <w:strike/>
          <w:color w:val="000000"/>
          <w:sz w:val="16"/>
          <w:szCs w:val="16"/>
        </w:rPr>
        <w:t> </w:t>
      </w:r>
      <w:hyperlink r:id="rId6" w:history="1">
        <w:r w:rsidRPr="0015225C">
          <w:rPr>
            <w:rStyle w:val="Collegamentoipertestuale"/>
            <w:rFonts w:ascii="Calibri" w:hAnsi="Calibri"/>
            <w:strike/>
            <w:sz w:val="16"/>
            <w:szCs w:val="16"/>
          </w:rPr>
          <w:t>decreto legislativo 22 gennaio 2004, n. 42</w:t>
        </w:r>
      </w:hyperlink>
      <w:r w:rsidRPr="0015225C">
        <w:rPr>
          <w:rStyle w:val="apple-converted-space"/>
          <w:rFonts w:ascii="Calibri" w:hAnsi="Calibri"/>
          <w:strike/>
          <w:color w:val="000000"/>
          <w:sz w:val="16"/>
          <w:szCs w:val="16"/>
        </w:rPr>
        <w:t> </w:t>
      </w:r>
      <w:r w:rsidRPr="0015225C">
        <w:rPr>
          <w:rFonts w:ascii="Calibri" w:hAnsi="Calibri"/>
          <w:strike/>
          <w:color w:val="000000"/>
          <w:sz w:val="16"/>
          <w:szCs w:val="16"/>
        </w:rPr>
        <w:t>e successive modificazioni, gli interventi di demolizione e ricostruzione e gli interventi di ripristino di edifici crollati o demoliti costituiscono interventi di ristrutturazione edilizia soltanto ove sia rispettata la medesima sagoma dell'edificio preesistente;</w:t>
      </w:r>
      <w:r w:rsidRPr="0015225C">
        <w:rPr>
          <w:rStyle w:val="apple-converted-space"/>
          <w:rFonts w:ascii="Calibri" w:hAnsi="Calibri"/>
          <w:strike/>
          <w:color w:val="000000"/>
          <w:sz w:val="16"/>
          <w:szCs w:val="16"/>
        </w:rPr>
        <w:t> </w:t>
      </w:r>
      <w:r w:rsidRPr="0015225C">
        <w:rPr>
          <w:rFonts w:ascii="Calibri" w:hAnsi="Calibri"/>
          <w:b/>
          <w:bCs/>
          <w:color w:val="000000"/>
          <w:sz w:val="16"/>
          <w:szCs w:val="16"/>
        </w:rPr>
        <w:t>Nell’ambito degli interventi di ristrutturazione edilizia sono ricompresi altresì gli interventi di demolizione e ricostruzione di edifici esistenti con diversa sagoma, prospetti, sedime e caratteristiche planivolumetriche e tipologiche, con le innovazioni necessarie per l’adeguamento alla normativa antisismica, per l’applicazione della normativa sull’accessibilità, per l’istallazione di impianti tecnologici e per l’</w:t>
      </w:r>
      <w:proofErr w:type="spellStart"/>
      <w:r w:rsidRPr="0015225C">
        <w:rPr>
          <w:rFonts w:ascii="Calibri" w:hAnsi="Calibri"/>
          <w:b/>
          <w:bCs/>
          <w:color w:val="000000"/>
          <w:sz w:val="16"/>
          <w:szCs w:val="16"/>
        </w:rPr>
        <w:t>efficientamento</w:t>
      </w:r>
      <w:proofErr w:type="spellEnd"/>
      <w:r w:rsidRPr="0015225C">
        <w:rPr>
          <w:rFonts w:ascii="Calibri" w:hAnsi="Calibri"/>
          <w:b/>
          <w:bCs/>
          <w:color w:val="000000"/>
          <w:sz w:val="16"/>
          <w:szCs w:val="16"/>
        </w:rPr>
        <w:t xml:space="preserve"> energetico. L’intervento può prevedere altresì, nei soli casi espressamente previsti dalla legislazione vigente o dagli strumenti urbanistici comunali, incrementi di volumetria anche per promuovere interventi di rigenerazione urbana. Costituiscono inoltre ristrutturazione edilizia gli interventi volti al ripristino di edifici, o parti di essi, eventualmente crollati o demoliti, attraverso la loro ricostruzione, purché sia possibile accertarne la preesistente consistenza. Rimane fermo che, con riferimento agli immobili sottoposti a tutela ai sensi del</w:t>
      </w:r>
      <w:r w:rsidRPr="0015225C">
        <w:rPr>
          <w:rStyle w:val="apple-converted-space"/>
          <w:rFonts w:ascii="Calibri" w:hAnsi="Calibri"/>
          <w:b/>
          <w:bCs/>
          <w:color w:val="000000"/>
          <w:sz w:val="16"/>
          <w:szCs w:val="16"/>
        </w:rPr>
        <w:t> </w:t>
      </w:r>
      <w:hyperlink r:id="rId7" w:history="1">
        <w:r w:rsidRPr="0015225C">
          <w:rPr>
            <w:rStyle w:val="Collegamentoipertestuale"/>
            <w:rFonts w:ascii="Calibri" w:hAnsi="Calibri"/>
            <w:b/>
            <w:bCs/>
            <w:sz w:val="16"/>
            <w:szCs w:val="16"/>
          </w:rPr>
          <w:t>Codice dei beni culturali e del paesaggio di cui al decreto legislativo 22 gennaio 2004, n. 42</w:t>
        </w:r>
      </w:hyperlink>
      <w:r w:rsidRPr="0015225C">
        <w:rPr>
          <w:rFonts w:ascii="Calibri" w:hAnsi="Calibri"/>
          <w:b/>
          <w:bCs/>
          <w:color w:val="000000"/>
          <w:sz w:val="16"/>
          <w:szCs w:val="16"/>
        </w:rPr>
        <w:t>, nonché a quelli ubicati nelle zone omogenee A, gli interventi di demolizione e ricostruzione e gli interventi di ripristino di edifici crollati o demoliti costituiscono interventi di ristrutturazione edilizia soltanto ove siano mantenuti sagoma, prospetti, sedime e caratteristiche planivolumetriche e tipologiche dell’edificio preesistente e non siano previsti incrementi di volumetria;</w:t>
      </w:r>
      <w:r w:rsidRPr="0015225C">
        <w:rPr>
          <w:rFonts w:ascii="Calibri" w:hAnsi="Calibri"/>
          <w:b/>
          <w:bCs/>
          <w:color w:val="000000"/>
          <w:sz w:val="16"/>
          <w:szCs w:val="16"/>
        </w:rPr>
        <w:br/>
      </w:r>
      <w:r w:rsidRPr="0015225C">
        <w:rPr>
          <w:rFonts w:ascii="Calibri" w:hAnsi="Calibri"/>
          <w:i/>
          <w:iCs/>
          <w:color w:val="FF0000"/>
          <w:sz w:val="16"/>
          <w:szCs w:val="16"/>
        </w:rPr>
        <w:t>(lettera così modificata dall'</w:t>
      </w:r>
      <w:hyperlink r:id="rId8" w:anchor="10" w:history="1">
        <w:r w:rsidRPr="0015225C">
          <w:rPr>
            <w:rStyle w:val="Collegamentoipertestuale"/>
            <w:rFonts w:ascii="Calibri" w:hAnsi="Calibri"/>
            <w:i/>
            <w:iCs/>
            <w:sz w:val="16"/>
            <w:szCs w:val="16"/>
          </w:rPr>
          <w:t>art. 10, comma 1, lettera b), del decreto-legge n. 76 del 2020</w:t>
        </w:r>
      </w:hyperlink>
      <w:r w:rsidRPr="0015225C">
        <w:rPr>
          <w:rFonts w:ascii="Calibri" w:hAnsi="Calibri"/>
          <w:i/>
          <w:iCs/>
          <w:color w:val="FF0000"/>
          <w:sz w:val="16"/>
          <w:szCs w:val="16"/>
        </w:rPr>
        <w:t>)</w:t>
      </w:r>
      <w:r w:rsidRPr="0015225C">
        <w:rPr>
          <w:rFonts w:ascii="Calibri" w:hAnsi="Calibri"/>
          <w:i/>
          <w:iCs/>
          <w:color w:val="FF0000"/>
          <w:sz w:val="16"/>
          <w:szCs w:val="16"/>
        </w:rPr>
        <w:br/>
      </w:r>
      <w:r w:rsidRPr="0015225C">
        <w:rPr>
          <w:rFonts w:ascii="Calibri" w:hAnsi="Calibri"/>
          <w:color w:val="000000"/>
          <w:sz w:val="16"/>
          <w:szCs w:val="16"/>
        </w:rPr>
        <w:t>e) "interventi di nuova costruzione", quelli di trasformazione edilizia e urbanistica del territorio non rientranti nelle categorie definite alle lettere precedenti. Sono comunque da considerarsi tali:</w:t>
      </w:r>
      <w:r w:rsidRPr="0015225C">
        <w:rPr>
          <w:rStyle w:val="apple-converted-space"/>
          <w:rFonts w:ascii="Calibri" w:hAnsi="Calibri"/>
          <w:color w:val="000000"/>
          <w:sz w:val="16"/>
          <w:szCs w:val="16"/>
        </w:rPr>
        <w:t> </w:t>
      </w:r>
    </w:p>
    <w:p w:rsidR="0060283D" w:rsidRPr="0015225C" w:rsidRDefault="0060283D" w:rsidP="0015225C">
      <w:pPr>
        <w:pStyle w:val="NormaleWeb"/>
        <w:shd w:val="clear" w:color="auto" w:fill="F5FDFE"/>
        <w:rPr>
          <w:rFonts w:ascii="-webkit-standard" w:hAnsi="-webkit-standard"/>
          <w:color w:val="000000"/>
          <w:sz w:val="16"/>
          <w:szCs w:val="16"/>
        </w:rPr>
      </w:pPr>
      <w:r w:rsidRPr="0015225C">
        <w:rPr>
          <w:rFonts w:ascii="Calibri" w:hAnsi="Calibri"/>
          <w:color w:val="000000"/>
          <w:sz w:val="16"/>
          <w:szCs w:val="16"/>
        </w:rPr>
        <w:t>e.1) la costruzione di manufatti edilizi fuori terra o interrati, ovvero l'ampliamento di quelli esistenti all'esterno della sagoma esistente, fermo restando, per gli interventi pertinenziali, quanto previsto alla lettera e.6);</w:t>
      </w:r>
      <w:r w:rsidRPr="0015225C">
        <w:rPr>
          <w:rFonts w:ascii="Calibri" w:hAnsi="Calibri"/>
          <w:color w:val="000000"/>
          <w:sz w:val="16"/>
          <w:szCs w:val="16"/>
        </w:rPr>
        <w:br/>
        <w:t>e.2) gli interventi di urbanizzazione primaria e secondaria realizzati da soggetti diversi dal Comune;</w:t>
      </w:r>
      <w:r w:rsidRPr="0015225C">
        <w:rPr>
          <w:rFonts w:ascii="Calibri" w:hAnsi="Calibri"/>
          <w:color w:val="000000"/>
          <w:sz w:val="16"/>
          <w:szCs w:val="16"/>
        </w:rPr>
        <w:br/>
        <w:t>e.3) la realizzazione di infrastrutture e di impianti, anche per pubblici servizi, che comporti la trasformazione in via permanente di suolo inedificato;</w:t>
      </w:r>
      <w:r w:rsidRPr="0015225C">
        <w:rPr>
          <w:rFonts w:ascii="Calibri" w:hAnsi="Calibri"/>
          <w:color w:val="000000"/>
          <w:sz w:val="16"/>
          <w:szCs w:val="16"/>
        </w:rPr>
        <w:br/>
        <w:t>e.4) l’installazione di torri e tralicci per impianti radio-ricetrasmittenti e di ripetitori per i servizi di telecomunicazione;</w:t>
      </w:r>
      <w:r w:rsidRPr="0015225C">
        <w:rPr>
          <w:rFonts w:ascii="Calibri" w:hAnsi="Calibri"/>
          <w:color w:val="000000"/>
          <w:sz w:val="16"/>
          <w:szCs w:val="16"/>
        </w:rPr>
        <w:br/>
      </w:r>
      <w:r w:rsidRPr="0015225C">
        <w:rPr>
          <w:rFonts w:ascii="Calibri" w:hAnsi="Calibri"/>
          <w:i/>
          <w:iCs/>
          <w:color w:val="FF0000"/>
          <w:sz w:val="16"/>
          <w:szCs w:val="16"/>
        </w:rPr>
        <w:t>(punto da ritenersi abrogato implicitamente dagli</w:t>
      </w:r>
      <w:r w:rsidRPr="0015225C">
        <w:rPr>
          <w:rStyle w:val="apple-converted-space"/>
          <w:rFonts w:ascii="Calibri" w:hAnsi="Calibri"/>
          <w:i/>
          <w:iCs/>
          <w:color w:val="FF0000"/>
          <w:sz w:val="16"/>
          <w:szCs w:val="16"/>
        </w:rPr>
        <w:t> </w:t>
      </w:r>
      <w:hyperlink r:id="rId9" w:anchor="87" w:history="1">
        <w:r w:rsidRPr="0015225C">
          <w:rPr>
            <w:rStyle w:val="Collegamentoipertestuale"/>
            <w:rFonts w:ascii="Calibri" w:hAnsi="Calibri"/>
            <w:i/>
            <w:iCs/>
            <w:sz w:val="16"/>
            <w:szCs w:val="16"/>
          </w:rPr>
          <w:t>artt. 87 e segg. del d.lgs. n. 259 del 2003</w:t>
        </w:r>
      </w:hyperlink>
      <w:r w:rsidRPr="0015225C">
        <w:rPr>
          <w:rFonts w:ascii="Calibri" w:hAnsi="Calibri"/>
          <w:i/>
          <w:iCs/>
          <w:color w:val="FF0000"/>
          <w:sz w:val="16"/>
          <w:szCs w:val="16"/>
        </w:rPr>
        <w:t>)</w:t>
      </w:r>
      <w:r w:rsidRPr="0015225C">
        <w:rPr>
          <w:rFonts w:ascii="Calibri" w:hAnsi="Calibri"/>
          <w:color w:val="000000"/>
          <w:sz w:val="16"/>
          <w:szCs w:val="16"/>
        </w:rPr>
        <w:br/>
        <w:t xml:space="preserve">e.5) l’installazione di manufatti leggeri, anche prefabbricati, e di strutture di qualsiasi genere, quali </w:t>
      </w:r>
      <w:proofErr w:type="spellStart"/>
      <w:r w:rsidRPr="0015225C">
        <w:rPr>
          <w:rFonts w:ascii="Calibri" w:hAnsi="Calibri"/>
          <w:color w:val="000000"/>
          <w:sz w:val="16"/>
          <w:szCs w:val="16"/>
        </w:rPr>
        <w:t>roulottes</w:t>
      </w:r>
      <w:proofErr w:type="spellEnd"/>
      <w:r w:rsidRPr="0015225C">
        <w:rPr>
          <w:rFonts w:ascii="Calibri" w:hAnsi="Calibri"/>
          <w:color w:val="000000"/>
          <w:sz w:val="16"/>
          <w:szCs w:val="16"/>
        </w:rPr>
        <w:t xml:space="preserve">, </w:t>
      </w:r>
      <w:proofErr w:type="spellStart"/>
      <w:r w:rsidRPr="0015225C">
        <w:rPr>
          <w:rFonts w:ascii="Calibri" w:hAnsi="Calibri"/>
          <w:color w:val="000000"/>
          <w:sz w:val="16"/>
          <w:szCs w:val="16"/>
        </w:rPr>
        <w:t>campers</w:t>
      </w:r>
      <w:proofErr w:type="spellEnd"/>
      <w:r w:rsidRPr="0015225C">
        <w:rPr>
          <w:rFonts w:ascii="Calibri" w:hAnsi="Calibri"/>
          <w:color w:val="000000"/>
          <w:sz w:val="16"/>
          <w:szCs w:val="16"/>
        </w:rPr>
        <w:t>, case mobili, imbarcazioni, che siano utilizzati come abitazioni, ambienti di lavoro, oppure come depositi, magazzini e simili, ad eccezione di quelli che siano diretti a soddisfare esigenze meramente temporanee o siano ricompresi in strutture ricettive all’aperto per la sosta e il soggiorno dei turisti, previamente autorizzate sotto il profilo urbanistico, edilizio e, ove previsto, paesaggistico, in conformità alle normative regionali di settore;</w:t>
      </w:r>
      <w:r w:rsidRPr="0015225C">
        <w:rPr>
          <w:rFonts w:ascii="Calibri" w:hAnsi="Calibri"/>
          <w:i/>
          <w:iCs/>
          <w:color w:val="FF0000"/>
          <w:sz w:val="16"/>
          <w:szCs w:val="16"/>
        </w:rPr>
        <w:t>(punto modificato dall'</w:t>
      </w:r>
      <w:hyperlink r:id="rId10" w:anchor="52" w:tgtFrame="_blank" w:history="1">
        <w:r w:rsidRPr="0015225C">
          <w:rPr>
            <w:rStyle w:val="Collegamentoipertestuale"/>
            <w:rFonts w:ascii="Calibri" w:hAnsi="Calibri"/>
            <w:i/>
            <w:iCs/>
            <w:sz w:val="16"/>
            <w:szCs w:val="16"/>
          </w:rPr>
          <w:t>art. 52, comma 2, legge n. 221 del 2015</w:t>
        </w:r>
      </w:hyperlink>
      <w:r w:rsidRPr="0015225C">
        <w:rPr>
          <w:rFonts w:ascii="Calibri" w:hAnsi="Calibri"/>
          <w:i/>
          <w:iCs/>
          <w:color w:val="FF0000"/>
          <w:sz w:val="16"/>
          <w:szCs w:val="16"/>
        </w:rPr>
        <w:t>)</w:t>
      </w:r>
      <w:r w:rsidRPr="0015225C">
        <w:rPr>
          <w:rFonts w:ascii="Calibri" w:hAnsi="Calibri"/>
          <w:color w:val="000000"/>
          <w:sz w:val="16"/>
          <w:szCs w:val="16"/>
        </w:rPr>
        <w:br/>
        <w:t>e.6) gli interventi pertinenziali che le norme tecniche degli strumenti urbanistici, in relazione alla zonizzazione e al pregio ambientale e paesaggistico delle aree, qualifichino come interventi di nuova costruzione, ovvero che comportino la realizzazione di un volume superiore al 20% del volume dell’edificio principale;</w:t>
      </w:r>
      <w:r w:rsidRPr="0015225C">
        <w:rPr>
          <w:rFonts w:ascii="Calibri" w:hAnsi="Calibri"/>
          <w:color w:val="000000"/>
          <w:sz w:val="16"/>
          <w:szCs w:val="16"/>
        </w:rPr>
        <w:br/>
        <w:t>e.7) la realizzazione di depositi di merci o di materiali, la realizzazione di impianti per attività produttive all'aperto ove comportino l'esecuzione di lavori cui consegua la trasformazione permanente del suolo inedificato;</w:t>
      </w:r>
    </w:p>
    <w:p w:rsidR="0060283D" w:rsidRPr="0015225C" w:rsidRDefault="0060283D" w:rsidP="0015225C">
      <w:pPr>
        <w:pStyle w:val="NormaleWeb"/>
        <w:shd w:val="clear" w:color="auto" w:fill="F5FDFE"/>
        <w:rPr>
          <w:rFonts w:ascii="-webkit-standard" w:hAnsi="-webkit-standard"/>
          <w:color w:val="000000"/>
          <w:sz w:val="16"/>
          <w:szCs w:val="16"/>
        </w:rPr>
      </w:pPr>
      <w:r w:rsidRPr="0015225C">
        <w:rPr>
          <w:rFonts w:ascii="Calibri" w:hAnsi="Calibri"/>
          <w:color w:val="000000"/>
          <w:sz w:val="16"/>
          <w:szCs w:val="16"/>
        </w:rPr>
        <w:t>f) gli "interventi di ristrutturazione urbanistica", quelli rivolti a sostituire l'esistente tessuto urbanistico-edilizio con altro diverso, mediante un insieme sistematico di interventi edilizi, anche con la modificazione del disegno dei lotti, degli isolati e della rete stradale.</w:t>
      </w:r>
    </w:p>
    <w:p w:rsidR="0060283D" w:rsidRPr="0015225C" w:rsidRDefault="0060283D" w:rsidP="0015225C">
      <w:pPr>
        <w:pStyle w:val="NormaleWeb"/>
        <w:shd w:val="clear" w:color="auto" w:fill="F5FDFE"/>
        <w:rPr>
          <w:rFonts w:ascii="-webkit-standard" w:hAnsi="-webkit-standard"/>
          <w:color w:val="000000"/>
          <w:sz w:val="16"/>
          <w:szCs w:val="16"/>
        </w:rPr>
      </w:pPr>
      <w:r w:rsidRPr="0015225C">
        <w:rPr>
          <w:rFonts w:ascii="Calibri" w:hAnsi="Calibri"/>
          <w:color w:val="000000"/>
          <w:sz w:val="16"/>
          <w:szCs w:val="16"/>
        </w:rPr>
        <w:t>2. Le definizioni di cui al comma 1 prevalgono sulle disposizioni degli strumenti urbanistici generali e dei regolamenti edilizi. Resta ferma la definizione di restauro prevista dall’articolo 34 del decreto legislativo 29 ottobre 1999, n. 490.</w:t>
      </w:r>
      <w:r w:rsidRPr="0015225C">
        <w:rPr>
          <w:rStyle w:val="apple-converted-space"/>
          <w:rFonts w:ascii="Calibri" w:hAnsi="Calibri"/>
          <w:color w:val="000000"/>
          <w:sz w:val="16"/>
          <w:szCs w:val="16"/>
        </w:rPr>
        <w:t> </w:t>
      </w:r>
      <w:r w:rsidRPr="0015225C">
        <w:rPr>
          <w:rStyle w:val="Enfasicorsivo"/>
          <w:rFonts w:ascii="Calibri" w:hAnsi="Calibri"/>
          <w:color w:val="FF0000"/>
          <w:sz w:val="16"/>
          <w:szCs w:val="16"/>
        </w:rPr>
        <w:t>(ora</w:t>
      </w:r>
      <w:r w:rsidRPr="0015225C">
        <w:rPr>
          <w:rStyle w:val="apple-converted-space"/>
          <w:rFonts w:ascii="Calibri" w:hAnsi="Calibri"/>
          <w:i/>
          <w:iCs/>
          <w:color w:val="FF0000"/>
          <w:sz w:val="16"/>
          <w:szCs w:val="16"/>
        </w:rPr>
        <w:t> </w:t>
      </w:r>
      <w:hyperlink r:id="rId11" w:anchor="029" w:history="1">
        <w:r w:rsidRPr="0015225C">
          <w:rPr>
            <w:rStyle w:val="Collegamentoipertestuale"/>
            <w:rFonts w:ascii="Calibri" w:hAnsi="Calibri"/>
            <w:i/>
            <w:iCs/>
            <w:sz w:val="16"/>
            <w:szCs w:val="16"/>
          </w:rPr>
          <w:t>art. 29, comma 3, del d.lgs. n. 42 del 2004</w:t>
        </w:r>
      </w:hyperlink>
      <w:r w:rsidRPr="0015225C">
        <w:rPr>
          <w:rStyle w:val="apple-converted-space"/>
          <w:rFonts w:ascii="Calibri" w:hAnsi="Calibri"/>
          <w:i/>
          <w:iCs/>
          <w:color w:val="FF0000"/>
          <w:sz w:val="16"/>
          <w:szCs w:val="16"/>
        </w:rPr>
        <w:t> </w:t>
      </w:r>
      <w:r w:rsidRPr="0015225C">
        <w:rPr>
          <w:rStyle w:val="Enfasicorsivo"/>
          <w:rFonts w:ascii="Calibri" w:hAnsi="Calibri"/>
          <w:color w:val="FF0000"/>
          <w:sz w:val="16"/>
          <w:szCs w:val="16"/>
        </w:rPr>
        <w:t xml:space="preserve">- </w:t>
      </w:r>
      <w:proofErr w:type="spellStart"/>
      <w:r w:rsidRPr="0015225C">
        <w:rPr>
          <w:rStyle w:val="Enfasicorsivo"/>
          <w:rFonts w:ascii="Calibri" w:hAnsi="Calibri"/>
          <w:color w:val="FF0000"/>
          <w:sz w:val="16"/>
          <w:szCs w:val="16"/>
        </w:rPr>
        <w:t>n.d.r.</w:t>
      </w:r>
      <w:proofErr w:type="spellEnd"/>
      <w:r w:rsidRPr="0015225C">
        <w:rPr>
          <w:rStyle w:val="Enfasicorsivo"/>
          <w:rFonts w:ascii="Calibri" w:hAnsi="Calibri"/>
          <w:color w:val="FF0000"/>
          <w:sz w:val="16"/>
          <w:szCs w:val="16"/>
        </w:rPr>
        <w:t>)</w:t>
      </w:r>
    </w:p>
    <w:p w:rsidR="0060283D" w:rsidRPr="0015225C" w:rsidRDefault="0060283D">
      <w:pPr>
        <w:pStyle w:val="Testonotaapidipagina"/>
        <w:rPr>
          <w:sz w:val="16"/>
          <w:szCs w:val="16"/>
        </w:rPr>
      </w:pPr>
    </w:p>
  </w:footnote>
  <w:footnote w:id="3">
    <w:p w:rsidR="0060283D" w:rsidRPr="00783DBF" w:rsidRDefault="0060283D" w:rsidP="00170FA6">
      <w:pPr>
        <w:pStyle w:val="NormaleWeb"/>
        <w:shd w:val="clear" w:color="auto" w:fill="F5FDFE"/>
        <w:rPr>
          <w:rFonts w:ascii="-webkit-standard" w:hAnsi="-webkit-standard"/>
          <w:color w:val="000000"/>
          <w:sz w:val="16"/>
          <w:szCs w:val="16"/>
        </w:rPr>
      </w:pPr>
      <w:r w:rsidRPr="00783DBF">
        <w:rPr>
          <w:rStyle w:val="Rimandonotaapidipagina"/>
          <w:sz w:val="16"/>
          <w:szCs w:val="16"/>
        </w:rPr>
        <w:footnoteRef/>
      </w:r>
      <w:bookmarkStart w:id="3" w:name="006"/>
      <w:r w:rsidRPr="00783DBF">
        <w:rPr>
          <w:rFonts w:ascii="Calibri" w:hAnsi="Calibri"/>
          <w:b/>
          <w:bCs/>
          <w:color w:val="000000"/>
          <w:sz w:val="16"/>
          <w:szCs w:val="16"/>
        </w:rPr>
        <w:t>Art. 6 (L) - Attività edilizia libera</w:t>
      </w:r>
      <w:bookmarkEnd w:id="3"/>
    </w:p>
    <w:p w:rsidR="0060283D" w:rsidRPr="00783DBF" w:rsidRDefault="0060283D" w:rsidP="00170FA6">
      <w:pPr>
        <w:pStyle w:val="NormaleWeb"/>
        <w:shd w:val="clear" w:color="auto" w:fill="F5FDFE"/>
        <w:rPr>
          <w:rFonts w:ascii="-webkit-standard" w:hAnsi="-webkit-standard"/>
          <w:color w:val="000000"/>
          <w:sz w:val="16"/>
          <w:szCs w:val="16"/>
        </w:rPr>
      </w:pPr>
      <w:r w:rsidRPr="00783DBF">
        <w:rPr>
          <w:rFonts w:ascii="Calibri" w:hAnsi="Calibri"/>
          <w:color w:val="000000"/>
          <w:sz w:val="16"/>
          <w:szCs w:val="16"/>
        </w:rPr>
        <w:t>1. Fatte salve le prescrizioni degli strumenti urbanistici comunali, e comunque nel rispetto delle altre normative di settore aventi incidenza sulla disciplina dell’attività edilizia e, in particolare, delle norme antisismiche, di sicurezza, antincendio, igienico-sanitarie, di quelle relative all’efficienza energetica, di tutela dal rischio idrogeologico, nonché delle disposizioni contenute nel codice dei beni culturali e del paesaggio, di cui al</w:t>
      </w:r>
      <w:r w:rsidRPr="00783DBF">
        <w:rPr>
          <w:rStyle w:val="apple-converted-space"/>
          <w:rFonts w:ascii="Calibri" w:hAnsi="Calibri"/>
          <w:color w:val="000000"/>
          <w:sz w:val="16"/>
          <w:szCs w:val="16"/>
        </w:rPr>
        <w:t> </w:t>
      </w:r>
      <w:hyperlink r:id="rId12" w:history="1">
        <w:r w:rsidRPr="00783DBF">
          <w:rPr>
            <w:rStyle w:val="Collegamentoipertestuale"/>
            <w:rFonts w:ascii="Calibri" w:hAnsi="Calibri"/>
            <w:sz w:val="16"/>
            <w:szCs w:val="16"/>
          </w:rPr>
          <w:t>decreto legislativo 22 gennaio 2004, n. 42</w:t>
        </w:r>
      </w:hyperlink>
      <w:r w:rsidRPr="00783DBF">
        <w:rPr>
          <w:rFonts w:ascii="Calibri" w:hAnsi="Calibri"/>
          <w:color w:val="000000"/>
          <w:sz w:val="16"/>
          <w:szCs w:val="16"/>
        </w:rPr>
        <w:t>, i seguenti interventi sono eseguiti senza alcun titolo abilitativo:</w:t>
      </w:r>
      <w:r w:rsidRPr="00783DBF">
        <w:rPr>
          <w:rFonts w:ascii="Calibri" w:hAnsi="Calibri"/>
          <w:color w:val="000000"/>
          <w:sz w:val="16"/>
          <w:szCs w:val="16"/>
        </w:rPr>
        <w:br/>
      </w:r>
      <w:r w:rsidRPr="00783DBF">
        <w:rPr>
          <w:rFonts w:ascii="Calibri" w:hAnsi="Calibri"/>
          <w:i/>
          <w:iCs/>
          <w:color w:val="FF0000"/>
          <w:sz w:val="16"/>
          <w:szCs w:val="16"/>
        </w:rPr>
        <w:t>(alinea così modificato dall'</w:t>
      </w:r>
      <w:hyperlink r:id="rId13" w:anchor="54" w:history="1">
        <w:r w:rsidRPr="00783DBF">
          <w:rPr>
            <w:rStyle w:val="Collegamentoipertestuale"/>
            <w:rFonts w:ascii="Calibri" w:hAnsi="Calibri"/>
            <w:i/>
            <w:iCs/>
            <w:sz w:val="16"/>
            <w:szCs w:val="16"/>
          </w:rPr>
          <w:t xml:space="preserve">art. 54, comma 2, </w:t>
        </w:r>
        <w:proofErr w:type="spellStart"/>
        <w:r w:rsidRPr="00783DBF">
          <w:rPr>
            <w:rStyle w:val="Collegamentoipertestuale"/>
            <w:rFonts w:ascii="Calibri" w:hAnsi="Calibri"/>
            <w:i/>
            <w:iCs/>
            <w:sz w:val="16"/>
            <w:szCs w:val="16"/>
          </w:rPr>
          <w:t>lett</w:t>
        </w:r>
        <w:proofErr w:type="spellEnd"/>
        <w:r w:rsidRPr="00783DBF">
          <w:rPr>
            <w:rStyle w:val="Collegamentoipertestuale"/>
            <w:rFonts w:ascii="Calibri" w:hAnsi="Calibri"/>
            <w:i/>
            <w:iCs/>
            <w:sz w:val="16"/>
            <w:szCs w:val="16"/>
          </w:rPr>
          <w:t>. c), legge n. 221 del 2015</w:t>
        </w:r>
      </w:hyperlink>
      <w:r w:rsidRPr="00783DBF">
        <w:rPr>
          <w:rFonts w:ascii="Calibri" w:hAnsi="Calibri"/>
          <w:i/>
          <w:iCs/>
          <w:color w:val="FF0000"/>
          <w:sz w:val="16"/>
          <w:szCs w:val="16"/>
        </w:rPr>
        <w:t>)</w:t>
      </w:r>
    </w:p>
    <w:p w:rsidR="0060283D" w:rsidRPr="00783DBF" w:rsidRDefault="0060283D" w:rsidP="00170FA6">
      <w:pPr>
        <w:pStyle w:val="NormaleWeb"/>
        <w:shd w:val="clear" w:color="auto" w:fill="F5FDFE"/>
        <w:rPr>
          <w:rFonts w:ascii="-webkit-standard" w:hAnsi="-webkit-standard"/>
          <w:color w:val="000000"/>
          <w:sz w:val="16"/>
          <w:szCs w:val="16"/>
        </w:rPr>
      </w:pPr>
      <w:r w:rsidRPr="00783DBF">
        <w:rPr>
          <w:rFonts w:ascii="Calibri" w:hAnsi="Calibri"/>
          <w:color w:val="000000"/>
          <w:sz w:val="16"/>
          <w:szCs w:val="16"/>
        </w:rPr>
        <w:t>a) gli interventi di manutenzione ordinaria di cui all'</w:t>
      </w:r>
      <w:hyperlink r:id="rId14" w:anchor="003" w:history="1">
        <w:r w:rsidRPr="00783DBF">
          <w:rPr>
            <w:rStyle w:val="Collegamentoipertestuale"/>
            <w:rFonts w:ascii="Calibri" w:hAnsi="Calibri"/>
            <w:sz w:val="16"/>
            <w:szCs w:val="16"/>
          </w:rPr>
          <w:t>articolo 3, comma 1, lettera a)</w:t>
        </w:r>
      </w:hyperlink>
      <w:r w:rsidRPr="00783DBF">
        <w:rPr>
          <w:rFonts w:ascii="Calibri" w:hAnsi="Calibri"/>
          <w:color w:val="000000"/>
          <w:sz w:val="16"/>
          <w:szCs w:val="16"/>
        </w:rPr>
        <w:t>;</w:t>
      </w:r>
      <w:r w:rsidRPr="00783DBF">
        <w:rPr>
          <w:rFonts w:ascii="Calibri" w:hAnsi="Calibri"/>
          <w:color w:val="000000"/>
          <w:sz w:val="16"/>
          <w:szCs w:val="16"/>
        </w:rPr>
        <w:br/>
      </w:r>
      <w:r w:rsidRPr="00783DBF">
        <w:rPr>
          <w:rFonts w:ascii="Calibri" w:hAnsi="Calibri"/>
          <w:i/>
          <w:iCs/>
          <w:color w:val="FF0000"/>
          <w:sz w:val="16"/>
          <w:szCs w:val="16"/>
        </w:rPr>
        <w:t>(lettera modificata dall'</w:t>
      </w:r>
      <w:hyperlink r:id="rId15" w:anchor="03" w:history="1">
        <w:r w:rsidRPr="00783DBF">
          <w:rPr>
            <w:rStyle w:val="Collegamentoipertestuale"/>
            <w:rFonts w:ascii="Calibri" w:hAnsi="Calibri"/>
            <w:i/>
            <w:iCs/>
            <w:sz w:val="16"/>
            <w:szCs w:val="16"/>
          </w:rPr>
          <w:t>art. 3 del d.lgs. n. 222 del 2016</w:t>
        </w:r>
      </w:hyperlink>
      <w:r w:rsidRPr="00783DBF">
        <w:rPr>
          <w:rFonts w:ascii="Calibri" w:hAnsi="Calibri"/>
          <w:i/>
          <w:iCs/>
          <w:color w:val="FF0000"/>
          <w:sz w:val="16"/>
          <w:szCs w:val="16"/>
        </w:rPr>
        <w:t>)</w:t>
      </w:r>
      <w:r w:rsidRPr="00783DBF">
        <w:rPr>
          <w:rFonts w:ascii="Calibri" w:hAnsi="Calibri"/>
          <w:color w:val="FF0000"/>
          <w:sz w:val="16"/>
          <w:szCs w:val="16"/>
        </w:rPr>
        <w:br/>
      </w:r>
      <w:r w:rsidRPr="00783DBF">
        <w:rPr>
          <w:rFonts w:ascii="Calibri" w:hAnsi="Calibri"/>
          <w:color w:val="000000"/>
          <w:sz w:val="16"/>
          <w:szCs w:val="16"/>
        </w:rPr>
        <w:t xml:space="preserve">a-bis) gli interventi di installazione delle pompe di calore aria-aria di potenza termica utile nominale inferiore a 12 </w:t>
      </w:r>
      <w:proofErr w:type="spellStart"/>
      <w:r w:rsidRPr="00783DBF">
        <w:rPr>
          <w:rFonts w:ascii="Calibri" w:hAnsi="Calibri"/>
          <w:color w:val="000000"/>
          <w:sz w:val="16"/>
          <w:szCs w:val="16"/>
        </w:rPr>
        <w:t>Kw</w:t>
      </w:r>
      <w:proofErr w:type="spellEnd"/>
      <w:r w:rsidRPr="00783DBF">
        <w:rPr>
          <w:rFonts w:ascii="Calibri" w:hAnsi="Calibri"/>
          <w:color w:val="000000"/>
          <w:sz w:val="16"/>
          <w:szCs w:val="16"/>
        </w:rPr>
        <w:t>;</w:t>
      </w:r>
      <w:r w:rsidRPr="00783DBF">
        <w:rPr>
          <w:rFonts w:ascii="Calibri" w:hAnsi="Calibri"/>
          <w:color w:val="000000"/>
          <w:sz w:val="16"/>
          <w:szCs w:val="16"/>
        </w:rPr>
        <w:br/>
      </w:r>
      <w:r w:rsidRPr="00783DBF">
        <w:rPr>
          <w:rFonts w:ascii="Calibri" w:hAnsi="Calibri"/>
          <w:i/>
          <w:iCs/>
          <w:color w:val="FF0000"/>
          <w:sz w:val="16"/>
          <w:szCs w:val="16"/>
        </w:rPr>
        <w:t>(lettera introdotta</w:t>
      </w:r>
      <w:r w:rsidRPr="00783DBF">
        <w:rPr>
          <w:rStyle w:val="apple-converted-space"/>
          <w:rFonts w:ascii="Calibri" w:hAnsi="Calibri"/>
          <w:i/>
          <w:iCs/>
          <w:color w:val="FF0000"/>
          <w:sz w:val="16"/>
          <w:szCs w:val="16"/>
        </w:rPr>
        <w:t> </w:t>
      </w:r>
      <w:r w:rsidRPr="00783DBF">
        <w:rPr>
          <w:rStyle w:val="Enfasicorsivo"/>
          <w:rFonts w:ascii="Calibri" w:hAnsi="Calibri"/>
          <w:color w:val="FF0000"/>
          <w:sz w:val="16"/>
          <w:szCs w:val="16"/>
        </w:rPr>
        <w:t>dall'</w:t>
      </w:r>
      <w:hyperlink r:id="rId16" w:anchor="03" w:history="1">
        <w:r w:rsidRPr="00783DBF">
          <w:rPr>
            <w:rStyle w:val="Collegamentoipertestuale"/>
            <w:rFonts w:ascii="Calibri" w:hAnsi="Calibri"/>
            <w:i/>
            <w:iCs/>
            <w:sz w:val="16"/>
            <w:szCs w:val="16"/>
          </w:rPr>
          <w:t>art. 3 del d.lgs. n. 222 del 2016</w:t>
        </w:r>
      </w:hyperlink>
      <w:r w:rsidRPr="00783DBF">
        <w:rPr>
          <w:rStyle w:val="Enfasicorsivo"/>
          <w:rFonts w:ascii="Calibri" w:hAnsi="Calibri"/>
          <w:color w:val="FF0000"/>
          <w:sz w:val="16"/>
          <w:szCs w:val="16"/>
        </w:rPr>
        <w:t>)</w:t>
      </w:r>
      <w:r w:rsidRPr="00783DBF">
        <w:rPr>
          <w:rFonts w:ascii="Calibri" w:hAnsi="Calibri"/>
          <w:i/>
          <w:iCs/>
          <w:color w:val="FF0000"/>
          <w:sz w:val="16"/>
          <w:szCs w:val="16"/>
        </w:rPr>
        <w:br/>
      </w:r>
      <w:r w:rsidRPr="00783DBF">
        <w:rPr>
          <w:rFonts w:ascii="Calibri" w:hAnsi="Calibri"/>
          <w:color w:val="000000"/>
          <w:sz w:val="16"/>
          <w:szCs w:val="16"/>
        </w:rPr>
        <w:t>b) gli interventi volti all’eliminazione di barriere architettoniche che non comportino la realizzazione di ascensori esterni, ovvero di manufatti che alterino la sagoma dell’edificio;</w:t>
      </w:r>
      <w:r w:rsidRPr="00783DBF">
        <w:rPr>
          <w:rFonts w:ascii="Calibri" w:hAnsi="Calibri"/>
          <w:color w:val="000000"/>
          <w:sz w:val="16"/>
          <w:szCs w:val="16"/>
        </w:rPr>
        <w:br/>
      </w:r>
      <w:r w:rsidRPr="00783DBF">
        <w:rPr>
          <w:rFonts w:ascii="Calibri" w:hAnsi="Calibri"/>
          <w:i/>
          <w:iCs/>
          <w:color w:val="FF0000"/>
          <w:sz w:val="16"/>
          <w:szCs w:val="16"/>
        </w:rPr>
        <w:t>(lettera modificata</w:t>
      </w:r>
      <w:r w:rsidRPr="00783DBF">
        <w:rPr>
          <w:rStyle w:val="apple-converted-space"/>
          <w:rFonts w:ascii="Calibri" w:hAnsi="Calibri"/>
          <w:i/>
          <w:iCs/>
          <w:color w:val="FF0000"/>
          <w:sz w:val="16"/>
          <w:szCs w:val="16"/>
        </w:rPr>
        <w:t> </w:t>
      </w:r>
      <w:r w:rsidRPr="00783DBF">
        <w:rPr>
          <w:rStyle w:val="Enfasicorsivo"/>
          <w:rFonts w:ascii="Calibri" w:hAnsi="Calibri"/>
          <w:color w:val="FF0000"/>
          <w:sz w:val="16"/>
          <w:szCs w:val="16"/>
        </w:rPr>
        <w:t>dall'</w:t>
      </w:r>
      <w:hyperlink r:id="rId17" w:anchor="03" w:history="1">
        <w:r w:rsidRPr="00783DBF">
          <w:rPr>
            <w:rStyle w:val="Collegamentoipertestuale"/>
            <w:rFonts w:ascii="Calibri" w:hAnsi="Calibri"/>
            <w:i/>
            <w:iCs/>
            <w:sz w:val="16"/>
            <w:szCs w:val="16"/>
          </w:rPr>
          <w:t>art. 3 del d.lgs. n. 222 del 2016</w:t>
        </w:r>
      </w:hyperlink>
      <w:r w:rsidRPr="00783DBF">
        <w:rPr>
          <w:rStyle w:val="Enfasicorsivo"/>
          <w:rFonts w:ascii="Calibri" w:hAnsi="Calibri"/>
          <w:color w:val="FF0000"/>
          <w:sz w:val="16"/>
          <w:szCs w:val="16"/>
        </w:rPr>
        <w:t>)</w:t>
      </w:r>
      <w:r w:rsidRPr="00783DBF">
        <w:rPr>
          <w:rFonts w:ascii="Calibri" w:hAnsi="Calibri"/>
          <w:i/>
          <w:iCs/>
          <w:color w:val="FF0000"/>
          <w:sz w:val="16"/>
          <w:szCs w:val="16"/>
        </w:rPr>
        <w:br/>
      </w:r>
      <w:r w:rsidRPr="00783DBF">
        <w:rPr>
          <w:rFonts w:ascii="Calibri" w:hAnsi="Calibri"/>
          <w:color w:val="000000"/>
          <w:sz w:val="16"/>
          <w:szCs w:val="16"/>
        </w:rPr>
        <w:t>c) le opere temporanee per attività di ricerca nel sottosuolo che abbiano carattere geognostico, ad esclusione di attività di ricerca di idrocarburi, e che siano eseguite in aree esterne al centro edificato;</w:t>
      </w:r>
      <w:r w:rsidRPr="00783DBF">
        <w:rPr>
          <w:rFonts w:ascii="Calibri" w:hAnsi="Calibri"/>
          <w:color w:val="000000"/>
          <w:sz w:val="16"/>
          <w:szCs w:val="16"/>
        </w:rPr>
        <w:br/>
        <w:t>d) i movimenti di terra strettamente pertinenti all’esercizio dell’attività agricola e le pratiche agro-</w:t>
      </w:r>
      <w:proofErr w:type="spellStart"/>
      <w:r w:rsidRPr="00783DBF">
        <w:rPr>
          <w:rFonts w:ascii="Calibri" w:hAnsi="Calibri"/>
          <w:color w:val="000000"/>
          <w:sz w:val="16"/>
          <w:szCs w:val="16"/>
        </w:rPr>
        <w:t>silvo</w:t>
      </w:r>
      <w:proofErr w:type="spellEnd"/>
      <w:r w:rsidRPr="00783DBF">
        <w:rPr>
          <w:rFonts w:ascii="Calibri" w:hAnsi="Calibri"/>
          <w:color w:val="000000"/>
          <w:sz w:val="16"/>
          <w:szCs w:val="16"/>
        </w:rPr>
        <w:t>-pastorali, compresi gli interventi su impianti idraulici agrari;</w:t>
      </w:r>
      <w:r w:rsidRPr="00783DBF">
        <w:rPr>
          <w:rFonts w:ascii="Calibri" w:hAnsi="Calibri"/>
          <w:color w:val="000000"/>
          <w:sz w:val="16"/>
          <w:szCs w:val="16"/>
        </w:rPr>
        <w:br/>
        <w:t>e) le serre mobili stagionali, sprovviste di strutture in muratura, funzionali allo svolgimento dell’attività agricola;</w:t>
      </w:r>
      <w:r w:rsidRPr="00783DBF">
        <w:rPr>
          <w:rFonts w:ascii="Calibri" w:hAnsi="Calibri"/>
          <w:color w:val="000000"/>
          <w:sz w:val="16"/>
          <w:szCs w:val="16"/>
        </w:rPr>
        <w:br/>
      </w:r>
      <w:r w:rsidRPr="00783DBF">
        <w:rPr>
          <w:rStyle w:val="Enfasicorsivo"/>
          <w:rFonts w:ascii="Calibri" w:hAnsi="Calibri"/>
          <w:color w:val="FF0000"/>
          <w:sz w:val="16"/>
          <w:szCs w:val="16"/>
        </w:rPr>
        <w:t xml:space="preserve">(ai sensi dell'art. 17 del d.lgs. n. 128 del 2006 «L'installazione dei depositi di gas di petrolio liquefatti di capacità complessiva non superiore a 13 mc è considerata, ai fini urbanistici ed edilizi, attività edilizia libera, come disciplinata dall'art. 6 del </w:t>
      </w:r>
      <w:proofErr w:type="spellStart"/>
      <w:r w:rsidRPr="00783DBF">
        <w:rPr>
          <w:rStyle w:val="Enfasicorsivo"/>
          <w:rFonts w:ascii="Calibri" w:hAnsi="Calibri"/>
          <w:color w:val="FF0000"/>
          <w:sz w:val="16"/>
          <w:szCs w:val="16"/>
        </w:rPr>
        <w:t>d.P.R.</w:t>
      </w:r>
      <w:proofErr w:type="spellEnd"/>
      <w:r w:rsidRPr="00783DBF">
        <w:rPr>
          <w:rStyle w:val="Enfasicorsivo"/>
          <w:rFonts w:ascii="Calibri" w:hAnsi="Calibri"/>
          <w:color w:val="FF0000"/>
          <w:sz w:val="16"/>
          <w:szCs w:val="16"/>
        </w:rPr>
        <w:t xml:space="preserve"> n. 380 del 2001»)</w:t>
      </w:r>
      <w:r w:rsidRPr="00783DBF">
        <w:rPr>
          <w:rFonts w:ascii="Calibri" w:hAnsi="Calibri"/>
          <w:i/>
          <w:iCs/>
          <w:color w:val="FF0000"/>
          <w:sz w:val="16"/>
          <w:szCs w:val="16"/>
        </w:rPr>
        <w:br/>
      </w:r>
      <w:r w:rsidRPr="00783DBF">
        <w:rPr>
          <w:rFonts w:ascii="Calibri" w:hAnsi="Calibri"/>
          <w:strike/>
          <w:color w:val="000000"/>
          <w:sz w:val="16"/>
          <w:szCs w:val="16"/>
        </w:rPr>
        <w:t>e-bis) le opere dirette a soddisfare obiettive esigenze contingenti e temporanee e ad essere immediatamente rimosse al cessare della necessità e, comunque, entro un termine non superiore a novanta giorni, previa comunicazione di avvio lavori all'amministrazione comunale;</w:t>
      </w:r>
      <w:r w:rsidRPr="00783DBF">
        <w:rPr>
          <w:rStyle w:val="apple-converted-space"/>
          <w:rFonts w:ascii="Calibri" w:hAnsi="Calibri"/>
          <w:strike/>
          <w:color w:val="000000"/>
          <w:sz w:val="16"/>
          <w:szCs w:val="16"/>
        </w:rPr>
        <w:t> </w:t>
      </w:r>
      <w:r w:rsidRPr="00783DBF">
        <w:rPr>
          <w:rFonts w:ascii="Calibri" w:hAnsi="Calibri"/>
          <w:color w:val="000000"/>
          <w:sz w:val="16"/>
          <w:szCs w:val="16"/>
        </w:rPr>
        <w:br/>
        <w:t>e-bis) le opere stagionali e quelle dirette a soddisfare obiettive esigenze, contingenti e temporanee, purché destinate ad essere immediatamente rimosse al cessare della temporanea necessità e, comunque, entro un termine non superiore a centottanta giorni comprensivo dei tempi di allestimento e smontaggio del manufatto, previa comunicazione di avvio dei lavori all’amministrazione comunale;</w:t>
      </w:r>
      <w:r w:rsidRPr="00783DBF">
        <w:rPr>
          <w:rFonts w:ascii="Calibri" w:hAnsi="Calibri"/>
          <w:color w:val="000000"/>
          <w:sz w:val="16"/>
          <w:szCs w:val="16"/>
        </w:rPr>
        <w:br/>
      </w:r>
      <w:r w:rsidRPr="00783DBF">
        <w:rPr>
          <w:rFonts w:ascii="Calibri" w:hAnsi="Calibri"/>
          <w:i/>
          <w:iCs/>
          <w:color w:val="FF0000"/>
          <w:sz w:val="16"/>
          <w:szCs w:val="16"/>
        </w:rPr>
        <w:t>(lettera così sostituita dall'</w:t>
      </w:r>
      <w:hyperlink r:id="rId18" w:anchor="10" w:history="1">
        <w:r w:rsidRPr="00783DBF">
          <w:rPr>
            <w:rStyle w:val="Collegamentoipertestuale"/>
            <w:rFonts w:ascii="Calibri" w:hAnsi="Calibri"/>
            <w:i/>
            <w:iCs/>
            <w:sz w:val="16"/>
            <w:szCs w:val="16"/>
          </w:rPr>
          <w:t>art. 10, comma 1, lettera c), del decreto-legge n. 76 del 2020</w:t>
        </w:r>
      </w:hyperlink>
      <w:r w:rsidRPr="00783DBF">
        <w:rPr>
          <w:rFonts w:ascii="Calibri" w:hAnsi="Calibri"/>
          <w:i/>
          <w:iCs/>
          <w:color w:val="FF0000"/>
          <w:sz w:val="16"/>
          <w:szCs w:val="16"/>
        </w:rPr>
        <w:t>)</w:t>
      </w:r>
      <w:r w:rsidRPr="00783DBF">
        <w:rPr>
          <w:rFonts w:ascii="Calibri" w:hAnsi="Calibri"/>
          <w:color w:val="000000"/>
          <w:sz w:val="16"/>
          <w:szCs w:val="16"/>
        </w:rPr>
        <w:br/>
        <w:t xml:space="preserve">e-ter) le opere di pavimentazione e di finitura di spazi esterni, anche per aree di sosta, che siano contenute entro l'indice di permeabilità, ove stabilito dallo strumento urbanistico comunale, ivi compresa la realizzazione di intercapedini interamente interrate e non accessibili, vasche di raccolta delle acque, locali </w:t>
      </w:r>
      <w:proofErr w:type="spellStart"/>
      <w:r w:rsidRPr="00783DBF">
        <w:rPr>
          <w:rFonts w:ascii="Calibri" w:hAnsi="Calibri"/>
          <w:color w:val="000000"/>
          <w:sz w:val="16"/>
          <w:szCs w:val="16"/>
        </w:rPr>
        <w:t>tombati</w:t>
      </w:r>
      <w:proofErr w:type="spellEnd"/>
      <w:r w:rsidRPr="00783DBF">
        <w:rPr>
          <w:rFonts w:ascii="Calibri" w:hAnsi="Calibri"/>
          <w:color w:val="000000"/>
          <w:sz w:val="16"/>
          <w:szCs w:val="16"/>
        </w:rPr>
        <w:t>;</w:t>
      </w:r>
      <w:r w:rsidRPr="00783DBF">
        <w:rPr>
          <w:rStyle w:val="apple-converted-space"/>
          <w:rFonts w:ascii="Calibri" w:hAnsi="Calibri"/>
          <w:color w:val="000000"/>
          <w:sz w:val="16"/>
          <w:szCs w:val="16"/>
        </w:rPr>
        <w:t> </w:t>
      </w:r>
      <w:r w:rsidRPr="00783DBF">
        <w:rPr>
          <w:rFonts w:ascii="Calibri" w:hAnsi="Calibri"/>
          <w:color w:val="000000"/>
          <w:sz w:val="16"/>
          <w:szCs w:val="16"/>
        </w:rPr>
        <w:br/>
        <w:t>e-quater) i pannelli solari, fotovoltaici, a servizio degli edifici, da realizzare al di fuori della zona A) di cui al</w:t>
      </w:r>
      <w:r w:rsidRPr="00783DBF">
        <w:rPr>
          <w:rStyle w:val="apple-converted-space"/>
          <w:rFonts w:ascii="Calibri" w:hAnsi="Calibri"/>
          <w:color w:val="000000"/>
          <w:sz w:val="16"/>
          <w:szCs w:val="16"/>
        </w:rPr>
        <w:t> </w:t>
      </w:r>
      <w:hyperlink r:id="rId19" w:history="1">
        <w:r w:rsidRPr="00783DBF">
          <w:rPr>
            <w:rStyle w:val="Collegamentoipertestuale"/>
            <w:rFonts w:ascii="Calibri" w:hAnsi="Calibri"/>
            <w:sz w:val="16"/>
            <w:szCs w:val="16"/>
          </w:rPr>
          <w:t>decreto del Ministro per i lavori pubblici 2 aprile 1968, n. 1444</w:t>
        </w:r>
      </w:hyperlink>
      <w:r w:rsidRPr="00783DBF">
        <w:rPr>
          <w:rFonts w:ascii="Calibri" w:hAnsi="Calibri"/>
          <w:color w:val="000000"/>
          <w:sz w:val="16"/>
          <w:szCs w:val="16"/>
        </w:rPr>
        <w:t>;</w:t>
      </w:r>
      <w:r w:rsidRPr="00783DBF">
        <w:rPr>
          <w:rStyle w:val="apple-converted-space"/>
          <w:rFonts w:ascii="Calibri" w:hAnsi="Calibri"/>
          <w:color w:val="000000"/>
          <w:sz w:val="16"/>
          <w:szCs w:val="16"/>
        </w:rPr>
        <w:t> </w:t>
      </w:r>
      <w:r w:rsidRPr="00783DBF">
        <w:rPr>
          <w:rFonts w:ascii="Calibri" w:hAnsi="Calibri"/>
          <w:color w:val="000000"/>
          <w:sz w:val="16"/>
          <w:szCs w:val="16"/>
        </w:rPr>
        <w:br/>
        <w:t>e-</w:t>
      </w:r>
      <w:proofErr w:type="spellStart"/>
      <w:r w:rsidRPr="00783DBF">
        <w:rPr>
          <w:rFonts w:ascii="Calibri" w:hAnsi="Calibri"/>
          <w:color w:val="000000"/>
          <w:sz w:val="16"/>
          <w:szCs w:val="16"/>
        </w:rPr>
        <w:t>quinquies</w:t>
      </w:r>
      <w:proofErr w:type="spellEnd"/>
      <w:r w:rsidRPr="00783DBF">
        <w:rPr>
          <w:rFonts w:ascii="Calibri" w:hAnsi="Calibri"/>
          <w:color w:val="000000"/>
          <w:sz w:val="16"/>
          <w:szCs w:val="16"/>
        </w:rPr>
        <w:t>) le aree ludiche senza fini di lucro e gli elementi di arredo delle aree pertinenziali degli edifici.</w:t>
      </w:r>
      <w:r w:rsidRPr="00783DBF">
        <w:rPr>
          <w:rStyle w:val="apple-converted-space"/>
          <w:rFonts w:ascii="Calibri" w:hAnsi="Calibri"/>
          <w:color w:val="000000"/>
          <w:sz w:val="16"/>
          <w:szCs w:val="16"/>
        </w:rPr>
        <w:t> </w:t>
      </w:r>
      <w:r w:rsidRPr="00783DBF">
        <w:rPr>
          <w:rFonts w:ascii="Calibri" w:hAnsi="Calibri"/>
          <w:color w:val="000000"/>
          <w:sz w:val="16"/>
          <w:szCs w:val="16"/>
        </w:rPr>
        <w:br/>
      </w:r>
      <w:r w:rsidRPr="00783DBF">
        <w:rPr>
          <w:rFonts w:ascii="Calibri" w:hAnsi="Calibri"/>
          <w:i/>
          <w:iCs/>
          <w:color w:val="FF0000"/>
          <w:sz w:val="16"/>
          <w:szCs w:val="16"/>
        </w:rPr>
        <w:t>(lettere da e-bis a e-</w:t>
      </w:r>
      <w:proofErr w:type="spellStart"/>
      <w:r w:rsidRPr="00783DBF">
        <w:rPr>
          <w:rFonts w:ascii="Calibri" w:hAnsi="Calibri"/>
          <w:i/>
          <w:iCs/>
          <w:color w:val="FF0000"/>
          <w:sz w:val="16"/>
          <w:szCs w:val="16"/>
        </w:rPr>
        <w:t>quinquies</w:t>
      </w:r>
      <w:proofErr w:type="spellEnd"/>
      <w:r w:rsidRPr="00783DBF">
        <w:rPr>
          <w:rFonts w:ascii="Calibri" w:hAnsi="Calibri"/>
          <w:i/>
          <w:iCs/>
          <w:color w:val="FF0000"/>
          <w:sz w:val="16"/>
          <w:szCs w:val="16"/>
        </w:rPr>
        <w:t xml:space="preserve"> introdotte dall'</w:t>
      </w:r>
      <w:hyperlink r:id="rId20" w:anchor="03" w:history="1">
        <w:r w:rsidRPr="00783DBF">
          <w:rPr>
            <w:rStyle w:val="Collegamentoipertestuale"/>
            <w:rFonts w:ascii="Calibri" w:hAnsi="Calibri"/>
            <w:i/>
            <w:iCs/>
            <w:sz w:val="16"/>
            <w:szCs w:val="16"/>
          </w:rPr>
          <w:t>art. 3 del d.lgs. n. 222 del 2016</w:t>
        </w:r>
      </w:hyperlink>
      <w:r w:rsidRPr="00783DBF">
        <w:rPr>
          <w:rFonts w:ascii="Calibri" w:hAnsi="Calibri"/>
          <w:i/>
          <w:iCs/>
          <w:color w:val="FF0000"/>
          <w:sz w:val="16"/>
          <w:szCs w:val="16"/>
        </w:rPr>
        <w:t>)</w:t>
      </w:r>
    </w:p>
    <w:p w:rsidR="0060283D" w:rsidRPr="00783DBF" w:rsidRDefault="0060283D" w:rsidP="00170FA6">
      <w:pPr>
        <w:pStyle w:val="Testonotaapidipagina"/>
        <w:rPr>
          <w:sz w:val="16"/>
          <w:szCs w:val="16"/>
        </w:rPr>
      </w:pPr>
      <w:r w:rsidRPr="00783DBF">
        <w:rPr>
          <w:sz w:val="16"/>
          <w:szCs w:val="16"/>
        </w:rPr>
        <w:t xml:space="preserve"> </w:t>
      </w:r>
    </w:p>
  </w:footnote>
  <w:footnote w:id="4">
    <w:p w:rsidR="0060283D" w:rsidRPr="00783DBF" w:rsidRDefault="0060283D" w:rsidP="00783DBF">
      <w:pPr>
        <w:pStyle w:val="NormaleWeb"/>
        <w:shd w:val="clear" w:color="auto" w:fill="F5FDFE"/>
        <w:rPr>
          <w:rFonts w:ascii="-webkit-standard" w:hAnsi="-webkit-standard"/>
          <w:color w:val="000000"/>
          <w:sz w:val="16"/>
          <w:szCs w:val="16"/>
        </w:rPr>
      </w:pPr>
      <w:r>
        <w:rPr>
          <w:rStyle w:val="Rimandonotaapidipagina"/>
        </w:rPr>
        <w:footnoteRef/>
      </w:r>
      <w:r>
        <w:t xml:space="preserve"> </w:t>
      </w:r>
      <w:r w:rsidRPr="00783DBF">
        <w:rPr>
          <w:rFonts w:ascii="Calibri" w:hAnsi="Calibri"/>
          <w:b/>
          <w:bCs/>
          <w:color w:val="000000"/>
          <w:sz w:val="16"/>
          <w:szCs w:val="16"/>
        </w:rPr>
        <w:t>Art.</w:t>
      </w:r>
      <w:r w:rsidRPr="00783DBF">
        <w:rPr>
          <w:rStyle w:val="apple-converted-space"/>
          <w:rFonts w:ascii="Calibri" w:hAnsi="Calibri"/>
          <w:b/>
          <w:bCs/>
          <w:color w:val="000000"/>
          <w:sz w:val="16"/>
          <w:szCs w:val="16"/>
        </w:rPr>
        <w:t> </w:t>
      </w:r>
      <w:bookmarkStart w:id="4" w:name="009-bis"/>
      <w:r w:rsidRPr="00783DBF">
        <w:rPr>
          <w:rFonts w:ascii="Calibri" w:hAnsi="Calibri"/>
          <w:b/>
          <w:bCs/>
          <w:color w:val="000000"/>
          <w:sz w:val="16"/>
          <w:szCs w:val="16"/>
        </w:rPr>
        <w:t>9-bis</w:t>
      </w:r>
      <w:bookmarkEnd w:id="4"/>
      <w:r w:rsidRPr="00783DBF">
        <w:rPr>
          <w:rFonts w:ascii="Calibri" w:hAnsi="Calibri"/>
          <w:b/>
          <w:bCs/>
          <w:color w:val="000000"/>
          <w:sz w:val="16"/>
          <w:szCs w:val="16"/>
        </w:rPr>
        <w:t>.</w:t>
      </w:r>
      <w:r w:rsidRPr="00783DBF">
        <w:rPr>
          <w:rStyle w:val="apple-converted-space"/>
          <w:rFonts w:ascii="Calibri" w:hAnsi="Calibri"/>
          <w:b/>
          <w:bCs/>
          <w:color w:val="000000"/>
          <w:sz w:val="16"/>
          <w:szCs w:val="16"/>
        </w:rPr>
        <w:t> </w:t>
      </w:r>
      <w:r w:rsidRPr="00783DBF">
        <w:rPr>
          <w:rFonts w:ascii="Calibri" w:hAnsi="Calibri"/>
          <w:b/>
          <w:bCs/>
          <w:strike/>
          <w:color w:val="000000"/>
          <w:sz w:val="16"/>
          <w:szCs w:val="16"/>
        </w:rPr>
        <w:t>Documentazione amministrativa</w:t>
      </w:r>
      <w:r w:rsidRPr="00783DBF">
        <w:rPr>
          <w:rStyle w:val="apple-converted-space"/>
          <w:rFonts w:ascii="Calibri" w:hAnsi="Calibri"/>
          <w:b/>
          <w:bCs/>
          <w:color w:val="000000"/>
          <w:sz w:val="16"/>
          <w:szCs w:val="16"/>
        </w:rPr>
        <w:t> </w:t>
      </w:r>
      <w:r w:rsidRPr="00783DBF">
        <w:rPr>
          <w:rFonts w:ascii="Calibri" w:hAnsi="Calibri"/>
          <w:b/>
          <w:bCs/>
          <w:color w:val="000000"/>
          <w:sz w:val="16"/>
          <w:szCs w:val="16"/>
        </w:rPr>
        <w:t>Documentazione amministrativa e stato legittimo degli immobili</w:t>
      </w:r>
    </w:p>
    <w:p w:rsidR="0060283D" w:rsidRPr="00783DBF" w:rsidRDefault="0060283D" w:rsidP="00783DBF">
      <w:pPr>
        <w:pStyle w:val="NormaleWeb"/>
        <w:shd w:val="clear" w:color="auto" w:fill="F5FDFE"/>
        <w:rPr>
          <w:rFonts w:ascii="-webkit-standard" w:hAnsi="-webkit-standard"/>
          <w:color w:val="000000"/>
          <w:sz w:val="16"/>
          <w:szCs w:val="16"/>
        </w:rPr>
      </w:pPr>
      <w:r w:rsidRPr="00783DBF">
        <w:rPr>
          <w:rFonts w:ascii="Calibri" w:hAnsi="Calibri"/>
          <w:color w:val="000000"/>
          <w:sz w:val="16"/>
          <w:szCs w:val="16"/>
        </w:rPr>
        <w:t>1. Ai fini della presentazione, del rilascio o della formazione dei titoli abilitativi previsti dal presente testo unico, le amministrazioni sono tenute ad acquisire d’ufficio i documenti, le informazioni e i dati, compresi quelli catastali, che siano in possesso delle pubbliche amministrazioni e non possono richiedere attestazioni, comunque denominate, o perizie sulla veridicità e sull’autenticità di tali documenti, informazioni e dati.</w:t>
      </w:r>
    </w:p>
    <w:p w:rsidR="0060283D" w:rsidRPr="00783DBF" w:rsidRDefault="0060283D" w:rsidP="00783DBF">
      <w:pPr>
        <w:pStyle w:val="NormaleWeb"/>
        <w:shd w:val="clear" w:color="auto" w:fill="F5FDFE"/>
        <w:rPr>
          <w:rFonts w:ascii="-webkit-standard" w:hAnsi="-webkit-standard"/>
          <w:color w:val="000000"/>
          <w:sz w:val="16"/>
          <w:szCs w:val="16"/>
        </w:rPr>
      </w:pPr>
      <w:r w:rsidRPr="00783DBF">
        <w:rPr>
          <w:rFonts w:ascii="Calibri" w:hAnsi="Calibri"/>
          <w:b/>
          <w:bCs/>
          <w:color w:val="000000"/>
          <w:sz w:val="16"/>
          <w:szCs w:val="16"/>
        </w:rPr>
        <w:t>1-bis. Lo stato legittimo dell’immobile o dell’unità immobiliare è quello stabilito dal titolo abilitativo che ne ha previsto la costruzione o da quello che ha disciplinato l’ultimo intervento edilizio che ha interessato l’intero immobile o unità immobiliare, integrati con gli eventuali titoli successivi che hanno abilitato interventi parziali. Per gli immobili realizzati in un’epoca nella quale non era obbligatorio acquisire il titolo abilitativo edilizio, lo stato legittimo è quello desumibile dalle informazioni catastali di primo impianto ovvero da altri documenti probanti, quali le riprese fotografiche, gli estratti cartografici, i documenti d’archivio, o altro atto, pubblico o privato, di cui sia dimostrata la provenienza. Le disposizioni di cui al secondo periodo si applicano altresì nei casi in cui sussista un principio di prova del titolo abilitativo del quale, tuttavia, non sia disponibile copia.</w:t>
      </w:r>
      <w:r w:rsidRPr="00783DBF">
        <w:rPr>
          <w:rFonts w:ascii="Calibri" w:hAnsi="Calibri"/>
          <w:b/>
          <w:bCs/>
          <w:color w:val="000000"/>
          <w:sz w:val="16"/>
          <w:szCs w:val="16"/>
        </w:rPr>
        <w:br/>
      </w:r>
      <w:r w:rsidRPr="00783DBF">
        <w:rPr>
          <w:rFonts w:ascii="Calibri" w:hAnsi="Calibri"/>
          <w:i/>
          <w:iCs/>
          <w:color w:val="FF0000"/>
          <w:sz w:val="16"/>
          <w:szCs w:val="16"/>
        </w:rPr>
        <w:t>(comma aggiunto dall'</w:t>
      </w:r>
      <w:hyperlink r:id="rId21" w:anchor="10" w:history="1">
        <w:r w:rsidRPr="00783DBF">
          <w:rPr>
            <w:rStyle w:val="Collegamentoipertestuale"/>
            <w:rFonts w:ascii="Calibri" w:hAnsi="Calibri"/>
            <w:i/>
            <w:iCs/>
            <w:sz w:val="16"/>
            <w:szCs w:val="16"/>
          </w:rPr>
          <w:t>art. 10, comma 1, lettera d), del decreto-legge n. 76 del 2020</w:t>
        </w:r>
      </w:hyperlink>
      <w:r w:rsidRPr="00783DBF">
        <w:rPr>
          <w:rFonts w:ascii="Calibri" w:hAnsi="Calibri"/>
          <w:i/>
          <w:iCs/>
          <w:color w:val="FF0000"/>
          <w:sz w:val="16"/>
          <w:szCs w:val="16"/>
        </w:rPr>
        <w:t>)</w:t>
      </w:r>
    </w:p>
    <w:p w:rsidR="0060283D" w:rsidRPr="00783DBF" w:rsidRDefault="0060283D">
      <w:pPr>
        <w:pStyle w:val="Testonotaapidipagina"/>
        <w:rPr>
          <w:sz w:val="16"/>
          <w:szCs w:val="16"/>
        </w:rPr>
      </w:pPr>
    </w:p>
  </w:footnote>
  <w:footnote w:id="5">
    <w:p w:rsidR="0060283D" w:rsidRPr="00170FA6" w:rsidRDefault="0060283D" w:rsidP="00170FA6">
      <w:pPr>
        <w:pStyle w:val="NormaleWeb"/>
        <w:shd w:val="clear" w:color="auto" w:fill="F5FDFE"/>
        <w:rPr>
          <w:rFonts w:ascii="-webkit-standard" w:hAnsi="-webkit-standard"/>
          <w:color w:val="000000"/>
          <w:sz w:val="16"/>
          <w:szCs w:val="16"/>
        </w:rPr>
      </w:pPr>
      <w:r w:rsidRPr="00170FA6">
        <w:rPr>
          <w:rStyle w:val="Rimandonotaapidipagina"/>
          <w:sz w:val="16"/>
          <w:szCs w:val="16"/>
        </w:rPr>
        <w:footnoteRef/>
      </w:r>
      <w:r w:rsidRPr="00170FA6">
        <w:rPr>
          <w:sz w:val="16"/>
          <w:szCs w:val="16"/>
        </w:rPr>
        <w:t xml:space="preserve"> </w:t>
      </w:r>
      <w:bookmarkStart w:id="5" w:name="010"/>
      <w:r w:rsidRPr="00170FA6">
        <w:rPr>
          <w:rFonts w:ascii="Calibri" w:hAnsi="Calibri"/>
          <w:b/>
          <w:bCs/>
          <w:color w:val="000000"/>
          <w:sz w:val="16"/>
          <w:szCs w:val="16"/>
        </w:rPr>
        <w:t>Art. 10 (L) - Interventi subordinati a permesso di costruire</w:t>
      </w:r>
      <w:bookmarkEnd w:id="5"/>
    </w:p>
    <w:p w:rsidR="0060283D" w:rsidRPr="00170FA6" w:rsidRDefault="0060283D" w:rsidP="00170FA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1. Costituiscono interventi di trasformazione urbanistica ed edilizia del territorio e sono subordinati a permesso di costruire:</w:t>
      </w:r>
    </w:p>
    <w:p w:rsidR="0060283D" w:rsidRPr="0032068D" w:rsidRDefault="0060283D" w:rsidP="0032068D">
      <w:pPr>
        <w:shd w:val="clear" w:color="auto" w:fill="F5FDFE"/>
        <w:spacing w:beforeAutospacing="1"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a) gli interventi di nuova costruzione;</w:t>
      </w:r>
      <w:r w:rsidRPr="00170FA6">
        <w:rPr>
          <w:rFonts w:ascii="Calibri" w:eastAsia="Times New Roman" w:hAnsi="Calibri" w:cs="Times New Roman"/>
          <w:color w:val="000000"/>
          <w:sz w:val="16"/>
          <w:szCs w:val="16"/>
          <w:lang w:eastAsia="it-IT"/>
        </w:rPr>
        <w:br/>
        <w:t>b) gli interventi di ristrutturazione urbanistica;</w:t>
      </w:r>
      <w:r w:rsidRPr="00170FA6">
        <w:rPr>
          <w:rFonts w:ascii="Calibri" w:eastAsia="Times New Roman" w:hAnsi="Calibri" w:cs="Times New Roman"/>
          <w:color w:val="000000"/>
          <w:sz w:val="16"/>
          <w:szCs w:val="16"/>
          <w:lang w:eastAsia="it-IT"/>
        </w:rPr>
        <w:br/>
        <w:t>c) gli interventi di ristrutturazione edilizia che portino ad un organismo edilizio in tutto o in parte diverso dal precedente e che comportino modifiche della volumetria complessiva degli edifici o dei prospetti, ovvero che, limitatamente agli immobili compresi nelle zone omogenee A, comportino mutamenti della destinazione d’uso, nonché gli interventi che comportino modificazioni della sagoma di immobili sottoposti a vincoli ai sensi del </w:t>
      </w:r>
      <w:hyperlink r:id="rId22" w:history="1">
        <w:r w:rsidRPr="00170FA6">
          <w:rPr>
            <w:rFonts w:ascii="Calibri" w:eastAsia="Times New Roman" w:hAnsi="Calibri" w:cs="Times New Roman"/>
            <w:color w:val="0000FF"/>
            <w:sz w:val="16"/>
            <w:szCs w:val="16"/>
            <w:u w:val="single"/>
            <w:lang w:eastAsia="it-IT"/>
          </w:rPr>
          <w:t>decreto legislativo 22 gennaio 2004, n. 42</w:t>
        </w:r>
      </w:hyperlink>
      <w:r w:rsidRPr="00170FA6">
        <w:rPr>
          <w:rFonts w:ascii="Calibri" w:eastAsia="Times New Roman" w:hAnsi="Calibri" w:cs="Times New Roman"/>
          <w:color w:val="000000"/>
          <w:sz w:val="16"/>
          <w:szCs w:val="16"/>
          <w:lang w:eastAsia="it-IT"/>
        </w:rPr>
        <w:t> e successive modificazioni.</w:t>
      </w:r>
      <w:r w:rsidRPr="00170FA6">
        <w:rPr>
          <w:rFonts w:ascii="Calibri" w:eastAsia="Times New Roman" w:hAnsi="Calibri" w:cs="Times New Roman"/>
          <w:color w:val="000000"/>
          <w:sz w:val="16"/>
          <w:szCs w:val="16"/>
          <w:lang w:eastAsia="it-IT"/>
        </w:rPr>
        <w:br/>
      </w:r>
      <w:r w:rsidRPr="00170FA6">
        <w:rPr>
          <w:rFonts w:ascii="Calibri" w:eastAsia="Times New Roman" w:hAnsi="Calibri" w:cs="Times New Roman"/>
          <w:i/>
          <w:iCs/>
          <w:color w:val="FF0000"/>
          <w:sz w:val="16"/>
          <w:szCs w:val="16"/>
          <w:lang w:eastAsia="it-IT"/>
        </w:rPr>
        <w:t>(lettera modificata dall'</w:t>
      </w:r>
      <w:hyperlink r:id="rId23" w:anchor="17" w:history="1">
        <w:r w:rsidRPr="00170FA6">
          <w:rPr>
            <w:rFonts w:ascii="Calibri" w:eastAsia="Times New Roman" w:hAnsi="Calibri" w:cs="Times New Roman"/>
            <w:i/>
            <w:iCs/>
            <w:color w:val="0000FF"/>
            <w:sz w:val="16"/>
            <w:szCs w:val="16"/>
            <w:u w:val="single"/>
            <w:lang w:eastAsia="it-IT"/>
          </w:rPr>
          <w:t>art. 17, comma 1, lettera d), legge n. 164 del 2014</w:t>
        </w:r>
      </w:hyperlink>
      <w:r w:rsidRPr="00170FA6">
        <w:rPr>
          <w:rFonts w:ascii="Calibri" w:eastAsia="Times New Roman" w:hAnsi="Calibri" w:cs="Times New Roman"/>
          <w:i/>
          <w:iCs/>
          <w:color w:val="FF0000"/>
          <w:sz w:val="16"/>
          <w:szCs w:val="16"/>
          <w:lang w:eastAsia="it-IT"/>
        </w:rPr>
        <w:t>)</w:t>
      </w:r>
      <w:r w:rsidRPr="00170FA6">
        <w:rPr>
          <w:rFonts w:ascii="Calibri" w:eastAsia="Times New Roman" w:hAnsi="Calibri" w:cs="Times New Roman"/>
          <w:i/>
          <w:iCs/>
          <w:color w:val="FF0000"/>
          <w:sz w:val="16"/>
          <w:szCs w:val="16"/>
          <w:lang w:eastAsia="it-IT"/>
        </w:rPr>
        <w:br/>
      </w:r>
      <w:r w:rsidRPr="00170FA6">
        <w:rPr>
          <w:rFonts w:ascii="Calibri" w:eastAsia="Times New Roman" w:hAnsi="Calibri" w:cs="Times New Roman"/>
          <w:b/>
          <w:bCs/>
          <w:color w:val="000000"/>
          <w:sz w:val="16"/>
          <w:szCs w:val="16"/>
          <w:lang w:eastAsia="it-IT"/>
        </w:rPr>
        <w:t>c) gli interventi di ristrutturazione edilizia che portino ad un organismo edilizio in tutto o in parte diverso dal precedente, nei casi in cui comportino anche modifiche della volumetria complessiva degli edifici ovvero che, limitatamente agli immobili compresi nelle zone omogenee A, comportino mutamenti della destinazione d’uso, nonché gli interventi che comportino modificazioni della sagoma o della volumetria complessiva degli edifici o dei prospetti di immobili sottoposti a tutela ai sensi del </w:t>
      </w:r>
      <w:hyperlink r:id="rId24" w:history="1">
        <w:r w:rsidRPr="00170FA6">
          <w:rPr>
            <w:rFonts w:ascii="Calibri" w:eastAsia="Times New Roman" w:hAnsi="Calibri" w:cs="Times New Roman"/>
            <w:b/>
            <w:bCs/>
            <w:color w:val="0000FF"/>
            <w:sz w:val="16"/>
            <w:szCs w:val="16"/>
            <w:u w:val="single"/>
            <w:lang w:eastAsia="it-IT"/>
          </w:rPr>
          <w:t>Codice dei beni culturali e del paesaggio di cui al decreto legislativo 22 gennaio 2004, n. 42</w:t>
        </w:r>
      </w:hyperlink>
      <w:r w:rsidRPr="00170FA6">
        <w:rPr>
          <w:rFonts w:ascii="Calibri" w:eastAsia="Times New Roman" w:hAnsi="Calibri" w:cs="Times New Roman"/>
          <w:b/>
          <w:bCs/>
          <w:color w:val="000000"/>
          <w:sz w:val="16"/>
          <w:szCs w:val="16"/>
          <w:lang w:eastAsia="it-IT"/>
        </w:rPr>
        <w:t>.</w:t>
      </w:r>
      <w:r w:rsidRPr="00170FA6">
        <w:rPr>
          <w:rFonts w:ascii="Calibri" w:eastAsia="Times New Roman" w:hAnsi="Calibri" w:cs="Times New Roman"/>
          <w:b/>
          <w:bCs/>
          <w:color w:val="000000"/>
          <w:sz w:val="16"/>
          <w:szCs w:val="16"/>
          <w:lang w:eastAsia="it-IT"/>
        </w:rPr>
        <w:br/>
      </w:r>
      <w:r w:rsidRPr="00170FA6">
        <w:rPr>
          <w:rFonts w:ascii="Calibri" w:eastAsia="Times New Roman" w:hAnsi="Calibri" w:cs="Times New Roman"/>
          <w:i/>
          <w:iCs/>
          <w:color w:val="FF0000"/>
          <w:sz w:val="16"/>
          <w:szCs w:val="16"/>
          <w:lang w:eastAsia="it-IT"/>
        </w:rPr>
        <w:t>(lettera così sostituita dall'</w:t>
      </w:r>
      <w:hyperlink r:id="rId25" w:anchor="10" w:history="1">
        <w:r w:rsidRPr="00170FA6">
          <w:rPr>
            <w:rFonts w:ascii="Calibri" w:eastAsia="Times New Roman" w:hAnsi="Calibri" w:cs="Times New Roman"/>
            <w:i/>
            <w:iCs/>
            <w:color w:val="0000FF"/>
            <w:sz w:val="16"/>
            <w:szCs w:val="16"/>
            <w:u w:val="single"/>
            <w:lang w:eastAsia="it-IT"/>
          </w:rPr>
          <w:t>art. 10, comma 1, lettera e), del decreto-legge n. 76 del 2020</w:t>
        </w:r>
      </w:hyperlink>
      <w:r w:rsidRPr="00170FA6">
        <w:rPr>
          <w:rFonts w:ascii="Calibri" w:eastAsia="Times New Roman" w:hAnsi="Calibri" w:cs="Times New Roman"/>
          <w:i/>
          <w:iCs/>
          <w:color w:val="FF0000"/>
          <w:sz w:val="16"/>
          <w:szCs w:val="16"/>
          <w:lang w:eastAsia="it-IT"/>
        </w:rPr>
        <w:t>)</w:t>
      </w:r>
    </w:p>
    <w:p w:rsidR="0060283D" w:rsidRPr="00170FA6" w:rsidRDefault="0060283D" w:rsidP="00170FA6">
      <w:pPr>
        <w:pStyle w:val="Testonotaapidipagina"/>
        <w:rPr>
          <w:sz w:val="16"/>
          <w:szCs w:val="16"/>
        </w:rPr>
      </w:pPr>
    </w:p>
  </w:footnote>
  <w:footnote w:id="6">
    <w:p w:rsidR="0060283D" w:rsidRPr="00170FA6" w:rsidRDefault="0060283D" w:rsidP="00170FA6">
      <w:pPr>
        <w:pStyle w:val="NormaleWeb"/>
        <w:shd w:val="clear" w:color="auto" w:fill="F5FDFE"/>
        <w:rPr>
          <w:rFonts w:ascii="-webkit-standard" w:hAnsi="-webkit-standard"/>
          <w:color w:val="000000"/>
          <w:sz w:val="16"/>
          <w:szCs w:val="16"/>
        </w:rPr>
      </w:pPr>
      <w:r>
        <w:rPr>
          <w:rStyle w:val="Rimandonotaapidipagina"/>
        </w:rPr>
        <w:footnoteRef/>
      </w:r>
      <w:r>
        <w:t xml:space="preserve"> </w:t>
      </w:r>
      <w:bookmarkStart w:id="6" w:name="014"/>
      <w:r w:rsidRPr="00170FA6">
        <w:rPr>
          <w:rFonts w:ascii="Calibri" w:hAnsi="Calibri"/>
          <w:b/>
          <w:bCs/>
          <w:color w:val="000000"/>
          <w:sz w:val="16"/>
          <w:szCs w:val="16"/>
        </w:rPr>
        <w:t>Art. 14 (L) - Permesso di costruire in deroga agli strumenti urbanistici</w:t>
      </w:r>
      <w:bookmarkEnd w:id="6"/>
    </w:p>
    <w:p w:rsidR="0060283D" w:rsidRPr="00170FA6" w:rsidRDefault="0060283D" w:rsidP="00170FA6">
      <w:pPr>
        <w:pStyle w:val="NormaleWeb"/>
        <w:shd w:val="clear" w:color="auto" w:fill="F5FDFE"/>
        <w:rPr>
          <w:rFonts w:ascii="-webkit-standard" w:hAnsi="-webkit-standard"/>
          <w:color w:val="000000"/>
          <w:sz w:val="16"/>
          <w:szCs w:val="16"/>
        </w:rPr>
      </w:pPr>
      <w:r w:rsidRPr="00170FA6">
        <w:rPr>
          <w:rFonts w:ascii="Calibri" w:hAnsi="Calibri"/>
          <w:color w:val="000000"/>
          <w:sz w:val="16"/>
          <w:szCs w:val="16"/>
        </w:rPr>
        <w:t>1. Il permesso di costruire in deroga agli strumenti urbanistici generali è rilasciato esclusivamente per edifici ed impianti pubblici o di interesse pubblico, previa deliberazione del consiglio comunale, nel rispetto comunque delle disposizioni contenute nel decreto legislativo 29 ottobre 1999, n. 490</w:t>
      </w:r>
      <w:r w:rsidRPr="00170FA6">
        <w:rPr>
          <w:rStyle w:val="apple-converted-space"/>
          <w:rFonts w:ascii="Calibri" w:hAnsi="Calibri"/>
          <w:color w:val="000000"/>
          <w:sz w:val="16"/>
          <w:szCs w:val="16"/>
        </w:rPr>
        <w:t> </w:t>
      </w:r>
      <w:r w:rsidRPr="00170FA6">
        <w:rPr>
          <w:rStyle w:val="Enfasicorsivo"/>
          <w:rFonts w:ascii="Calibri" w:hAnsi="Calibri"/>
          <w:color w:val="FF0000"/>
          <w:sz w:val="16"/>
          <w:szCs w:val="16"/>
        </w:rPr>
        <w:t>(ora</w:t>
      </w:r>
      <w:r w:rsidRPr="00170FA6">
        <w:rPr>
          <w:rStyle w:val="apple-converted-space"/>
          <w:rFonts w:ascii="Calibri" w:hAnsi="Calibri"/>
          <w:i/>
          <w:iCs/>
          <w:color w:val="FF0000"/>
          <w:sz w:val="16"/>
          <w:szCs w:val="16"/>
        </w:rPr>
        <w:t> </w:t>
      </w:r>
      <w:hyperlink r:id="rId26" w:history="1">
        <w:r w:rsidRPr="00170FA6">
          <w:rPr>
            <w:rStyle w:val="Collegamentoipertestuale"/>
            <w:rFonts w:ascii="Calibri" w:hAnsi="Calibri"/>
            <w:i/>
            <w:iCs/>
            <w:sz w:val="16"/>
            <w:szCs w:val="16"/>
          </w:rPr>
          <w:t>decreto legislativo n. 42 del 2004</w:t>
        </w:r>
      </w:hyperlink>
      <w:r w:rsidRPr="00170FA6">
        <w:rPr>
          <w:rStyle w:val="apple-converted-space"/>
          <w:rFonts w:ascii="Calibri" w:hAnsi="Calibri"/>
          <w:i/>
          <w:iCs/>
          <w:color w:val="FF0000"/>
          <w:sz w:val="16"/>
          <w:szCs w:val="16"/>
        </w:rPr>
        <w:t> </w:t>
      </w:r>
      <w:r w:rsidRPr="00170FA6">
        <w:rPr>
          <w:rStyle w:val="Enfasicorsivo"/>
          <w:rFonts w:ascii="Calibri" w:hAnsi="Calibri"/>
          <w:color w:val="FF0000"/>
          <w:sz w:val="16"/>
          <w:szCs w:val="16"/>
        </w:rPr>
        <w:t xml:space="preserve">- </w:t>
      </w:r>
      <w:proofErr w:type="spellStart"/>
      <w:r w:rsidRPr="00170FA6">
        <w:rPr>
          <w:rStyle w:val="Enfasicorsivo"/>
          <w:rFonts w:ascii="Calibri" w:hAnsi="Calibri"/>
          <w:color w:val="FF0000"/>
          <w:sz w:val="16"/>
          <w:szCs w:val="16"/>
        </w:rPr>
        <w:t>n.d.r.</w:t>
      </w:r>
      <w:proofErr w:type="spellEnd"/>
      <w:r w:rsidRPr="00170FA6">
        <w:rPr>
          <w:rStyle w:val="Enfasicorsivo"/>
          <w:rFonts w:ascii="Calibri" w:hAnsi="Calibri"/>
          <w:color w:val="FF0000"/>
          <w:sz w:val="16"/>
          <w:szCs w:val="16"/>
        </w:rPr>
        <w:t>)</w:t>
      </w:r>
      <w:r w:rsidRPr="00170FA6">
        <w:rPr>
          <w:rStyle w:val="apple-converted-space"/>
          <w:rFonts w:ascii="Calibri" w:hAnsi="Calibri"/>
          <w:i/>
          <w:iCs/>
          <w:color w:val="FF0000"/>
          <w:sz w:val="16"/>
          <w:szCs w:val="16"/>
        </w:rPr>
        <w:t> </w:t>
      </w:r>
      <w:r w:rsidRPr="00170FA6">
        <w:rPr>
          <w:rFonts w:ascii="Calibri" w:hAnsi="Calibri"/>
          <w:color w:val="000000"/>
          <w:sz w:val="16"/>
          <w:szCs w:val="16"/>
        </w:rPr>
        <w:t>e delle altre normative di settore aventi incidenza sulla disciplina dell’attività edilizia.</w:t>
      </w:r>
      <w:r w:rsidRPr="00170FA6">
        <w:rPr>
          <w:rStyle w:val="apple-converted-space"/>
          <w:rFonts w:ascii="Calibri" w:hAnsi="Calibri"/>
          <w:color w:val="000000"/>
          <w:sz w:val="16"/>
          <w:szCs w:val="16"/>
        </w:rPr>
        <w:t> </w:t>
      </w:r>
    </w:p>
    <w:p w:rsidR="0060283D" w:rsidRPr="00170FA6" w:rsidRDefault="0060283D" w:rsidP="00170FA6">
      <w:pPr>
        <w:pStyle w:val="NormaleWeb"/>
        <w:shd w:val="clear" w:color="auto" w:fill="F5FDFE"/>
        <w:rPr>
          <w:rFonts w:ascii="-webkit-standard" w:hAnsi="-webkit-standard"/>
          <w:color w:val="000000"/>
          <w:sz w:val="16"/>
          <w:szCs w:val="16"/>
        </w:rPr>
      </w:pPr>
      <w:r w:rsidRPr="00170FA6">
        <w:rPr>
          <w:rFonts w:ascii="Calibri" w:hAnsi="Calibri"/>
          <w:color w:val="000000"/>
          <w:sz w:val="16"/>
          <w:szCs w:val="16"/>
        </w:rPr>
        <w:t>1-bis. Per gli interventi di ristrutturazione edilizia, attuati anche in aree industriali dismesse, è ammessa la richiesta di permesso di costruire anche in deroga alle destinazioni d'uso, previa deliberazione del Consiglio comunale che ne attesta l'interesse pubblico, a condizione che il mutamento di destinazione d'uso non comporti un aumento della superficie coperta prima dell'intervento di ristrutturazione, fermo restando, nel caso di insediamenti commerciali, quanto disposto dall'</w:t>
      </w:r>
      <w:hyperlink r:id="rId27" w:anchor="31" w:history="1">
        <w:r w:rsidRPr="00170FA6">
          <w:rPr>
            <w:rStyle w:val="Collegamentoipertestuale"/>
            <w:rFonts w:ascii="Calibri" w:hAnsi="Calibri"/>
            <w:sz w:val="16"/>
            <w:szCs w:val="16"/>
          </w:rPr>
          <w:t>articolo 31, comma 2, del decreto-legge 6 dicembre 2011, n. 201, convertito, con modificazioni, dalla legge 22 dicembre 2011, n. 214</w:t>
        </w:r>
      </w:hyperlink>
      <w:r w:rsidRPr="00170FA6">
        <w:rPr>
          <w:rFonts w:ascii="Calibri" w:hAnsi="Calibri"/>
          <w:color w:val="000000"/>
          <w:sz w:val="16"/>
          <w:szCs w:val="16"/>
        </w:rPr>
        <w:t>, e successive modificazioni.</w:t>
      </w:r>
      <w:r w:rsidRPr="00170FA6">
        <w:rPr>
          <w:rFonts w:ascii="Calibri" w:hAnsi="Calibri"/>
          <w:b/>
          <w:bCs/>
          <w:color w:val="000000"/>
          <w:sz w:val="16"/>
          <w:szCs w:val="16"/>
        </w:rPr>
        <w:br/>
      </w:r>
      <w:r w:rsidRPr="00170FA6">
        <w:rPr>
          <w:rFonts w:ascii="Calibri" w:hAnsi="Calibri"/>
          <w:i/>
          <w:iCs/>
          <w:color w:val="FF0000"/>
          <w:sz w:val="16"/>
          <w:szCs w:val="16"/>
        </w:rPr>
        <w:t>(comma introdotto dall'</w:t>
      </w:r>
      <w:hyperlink r:id="rId28" w:anchor="17" w:history="1">
        <w:r w:rsidRPr="00170FA6">
          <w:rPr>
            <w:rStyle w:val="Collegamentoipertestuale"/>
            <w:rFonts w:ascii="Calibri" w:hAnsi="Calibri"/>
            <w:i/>
            <w:iCs/>
            <w:sz w:val="16"/>
            <w:szCs w:val="16"/>
          </w:rPr>
          <w:t>art. 17, comma 1, lettera e), legge n. 164 del 2014</w:t>
        </w:r>
      </w:hyperlink>
      <w:r w:rsidRPr="00170FA6">
        <w:rPr>
          <w:rFonts w:ascii="Calibri" w:hAnsi="Calibri"/>
          <w:i/>
          <w:iCs/>
          <w:color w:val="FF0000"/>
          <w:sz w:val="16"/>
          <w:szCs w:val="16"/>
        </w:rPr>
        <w:t>)</w:t>
      </w:r>
      <w:r w:rsidRPr="00170FA6">
        <w:rPr>
          <w:rFonts w:ascii="Calibri" w:hAnsi="Calibri"/>
          <w:i/>
          <w:iCs/>
          <w:color w:val="FF0000"/>
          <w:sz w:val="16"/>
          <w:szCs w:val="16"/>
        </w:rPr>
        <w:br/>
      </w:r>
      <w:r w:rsidRPr="00170FA6">
        <w:rPr>
          <w:rFonts w:ascii="Calibri" w:hAnsi="Calibri"/>
          <w:b/>
          <w:bCs/>
          <w:color w:val="000000"/>
          <w:sz w:val="16"/>
          <w:szCs w:val="16"/>
        </w:rPr>
        <w:t>1-bis. La richiesta di permesso di costruire in deroga è ammessa anche per gli interventi di ristrutturazione edilizia, previa deliberazione del Consiglio comunale che ne attesta l’interesse pubblico, fermo restando, nel caso di insediamenti commerciali, quanto disposto dall’</w:t>
      </w:r>
      <w:hyperlink r:id="rId29" w:anchor="31" w:history="1">
        <w:r w:rsidRPr="00170FA6">
          <w:rPr>
            <w:rStyle w:val="Collegamentoipertestuale"/>
            <w:rFonts w:ascii="Calibri" w:hAnsi="Calibri"/>
            <w:b/>
            <w:bCs/>
            <w:sz w:val="16"/>
            <w:szCs w:val="16"/>
          </w:rPr>
          <w:t>articolo 31, comma 2, del decreto-legge 6 dicembre 2011, n. 201, convertito, con modificazioni, dalla legge 22 dicembre 2011, n. 214</w:t>
        </w:r>
      </w:hyperlink>
      <w:r w:rsidRPr="00170FA6">
        <w:rPr>
          <w:rFonts w:ascii="Calibri" w:hAnsi="Calibri"/>
          <w:b/>
          <w:bCs/>
          <w:color w:val="000000"/>
          <w:sz w:val="16"/>
          <w:szCs w:val="16"/>
        </w:rPr>
        <w:t>.</w:t>
      </w:r>
      <w:r w:rsidRPr="00170FA6">
        <w:rPr>
          <w:rStyle w:val="apple-converted-space"/>
          <w:rFonts w:ascii="Calibri" w:hAnsi="Calibri"/>
          <w:b/>
          <w:bCs/>
          <w:color w:val="000000"/>
          <w:sz w:val="16"/>
          <w:szCs w:val="16"/>
        </w:rPr>
        <w:t> </w:t>
      </w:r>
      <w:r w:rsidRPr="00170FA6">
        <w:rPr>
          <w:rFonts w:ascii="Tahoma" w:hAnsi="Tahoma"/>
          <w:color w:val="000000"/>
          <w:sz w:val="16"/>
          <w:szCs w:val="16"/>
        </w:rPr>
        <w:br/>
      </w:r>
      <w:r w:rsidRPr="00170FA6">
        <w:rPr>
          <w:rFonts w:ascii="Calibri" w:hAnsi="Calibri"/>
          <w:i/>
          <w:iCs/>
          <w:color w:val="FF0000"/>
          <w:sz w:val="16"/>
          <w:szCs w:val="16"/>
        </w:rPr>
        <w:t>(comma</w:t>
      </w:r>
      <w:r w:rsidRPr="00170FA6">
        <w:rPr>
          <w:rStyle w:val="apple-converted-space"/>
          <w:rFonts w:ascii="Calibri" w:hAnsi="Calibri"/>
          <w:i/>
          <w:iCs/>
          <w:color w:val="FF0000"/>
          <w:sz w:val="16"/>
          <w:szCs w:val="16"/>
        </w:rPr>
        <w:t> </w:t>
      </w:r>
      <w:r w:rsidRPr="00170FA6">
        <w:rPr>
          <w:rFonts w:ascii="Calibri" w:hAnsi="Calibri"/>
          <w:i/>
          <w:iCs/>
          <w:color w:val="FF0000"/>
          <w:sz w:val="16"/>
          <w:szCs w:val="16"/>
        </w:rPr>
        <w:t>così sostituito</w:t>
      </w:r>
      <w:r w:rsidRPr="00170FA6">
        <w:rPr>
          <w:rStyle w:val="apple-converted-space"/>
          <w:rFonts w:ascii="Calibri" w:hAnsi="Calibri"/>
          <w:i/>
          <w:iCs/>
          <w:color w:val="FF0000"/>
          <w:sz w:val="16"/>
          <w:szCs w:val="16"/>
        </w:rPr>
        <w:t> </w:t>
      </w:r>
      <w:r w:rsidRPr="00170FA6">
        <w:rPr>
          <w:rFonts w:ascii="Calibri" w:hAnsi="Calibri"/>
          <w:i/>
          <w:iCs/>
          <w:color w:val="FF0000"/>
          <w:sz w:val="16"/>
          <w:szCs w:val="16"/>
        </w:rPr>
        <w:t>dall'</w:t>
      </w:r>
      <w:hyperlink r:id="rId30" w:anchor="10" w:history="1">
        <w:r w:rsidRPr="00170FA6">
          <w:rPr>
            <w:rStyle w:val="Collegamentoipertestuale"/>
            <w:rFonts w:ascii="Calibri" w:hAnsi="Calibri"/>
            <w:i/>
            <w:iCs/>
            <w:sz w:val="16"/>
            <w:szCs w:val="16"/>
          </w:rPr>
          <w:t>art. 10, comma 1, lettera f), del decreto-legge n. 76 del 2020</w:t>
        </w:r>
      </w:hyperlink>
      <w:r w:rsidRPr="00170FA6">
        <w:rPr>
          <w:rFonts w:ascii="Calibri" w:hAnsi="Calibri"/>
          <w:i/>
          <w:iCs/>
          <w:color w:val="FF0000"/>
          <w:sz w:val="16"/>
          <w:szCs w:val="16"/>
        </w:rPr>
        <w:t>)</w:t>
      </w:r>
    </w:p>
    <w:p w:rsidR="0060283D" w:rsidRPr="00170FA6" w:rsidRDefault="0060283D" w:rsidP="00170FA6">
      <w:pPr>
        <w:pStyle w:val="NormaleWeb"/>
        <w:shd w:val="clear" w:color="auto" w:fill="F5FDFE"/>
        <w:rPr>
          <w:rFonts w:ascii="-webkit-standard" w:hAnsi="-webkit-standard"/>
          <w:color w:val="000000"/>
          <w:sz w:val="16"/>
          <w:szCs w:val="16"/>
        </w:rPr>
      </w:pPr>
      <w:r w:rsidRPr="00170FA6">
        <w:rPr>
          <w:rFonts w:ascii="Calibri" w:hAnsi="Calibri"/>
          <w:color w:val="000000"/>
          <w:sz w:val="16"/>
          <w:szCs w:val="16"/>
        </w:rPr>
        <w:t>2. Dell’avvio del procedimento viene data comunicazione agli interessati ai sensi dell’</w:t>
      </w:r>
      <w:hyperlink r:id="rId31" w:anchor="07" w:history="1">
        <w:r w:rsidRPr="00170FA6">
          <w:rPr>
            <w:rStyle w:val="Collegamentoipertestuale"/>
            <w:rFonts w:ascii="Calibri" w:hAnsi="Calibri"/>
            <w:sz w:val="16"/>
            <w:szCs w:val="16"/>
          </w:rPr>
          <w:t>articolo 7 della legge 7 agosto 1990, n. 241</w:t>
        </w:r>
      </w:hyperlink>
      <w:r w:rsidRPr="00170FA6">
        <w:rPr>
          <w:rFonts w:ascii="Calibri" w:hAnsi="Calibri"/>
          <w:color w:val="000000"/>
          <w:sz w:val="16"/>
          <w:szCs w:val="16"/>
        </w:rPr>
        <w:t>.</w:t>
      </w:r>
      <w:r w:rsidRPr="00170FA6">
        <w:rPr>
          <w:rStyle w:val="apple-converted-space"/>
          <w:rFonts w:ascii="Calibri" w:hAnsi="Calibri"/>
          <w:color w:val="000000"/>
          <w:sz w:val="16"/>
          <w:szCs w:val="16"/>
        </w:rPr>
        <w:t> </w:t>
      </w:r>
    </w:p>
    <w:p w:rsidR="0060283D" w:rsidRPr="00170FA6" w:rsidRDefault="0060283D" w:rsidP="00170FA6">
      <w:pPr>
        <w:pStyle w:val="NormaleWeb"/>
        <w:shd w:val="clear" w:color="auto" w:fill="F5FDFE"/>
        <w:rPr>
          <w:rFonts w:ascii="-webkit-standard" w:hAnsi="-webkit-standard"/>
          <w:color w:val="000000"/>
          <w:sz w:val="16"/>
          <w:szCs w:val="16"/>
        </w:rPr>
      </w:pPr>
      <w:r w:rsidRPr="00170FA6">
        <w:rPr>
          <w:rFonts w:ascii="Calibri" w:hAnsi="Calibri"/>
          <w:color w:val="000000"/>
          <w:sz w:val="16"/>
          <w:szCs w:val="16"/>
        </w:rPr>
        <w:t>3. La deroga, nel rispetto delle norme igieniche, sanitarie e di sicurezza, può riguardare esclusivamente i limiti di densità edilizia, di altezza e di distanza tra i fabbricati di cui alle norme di attuazione degli strumenti urbanistici generali ed esecutivi</w:t>
      </w:r>
      <w:r w:rsidRPr="00170FA6">
        <w:rPr>
          <w:rStyle w:val="apple-converted-space"/>
          <w:rFonts w:ascii="Calibri" w:hAnsi="Calibri"/>
          <w:color w:val="000000"/>
          <w:sz w:val="16"/>
          <w:szCs w:val="16"/>
        </w:rPr>
        <w:t> </w:t>
      </w:r>
      <w:r w:rsidRPr="00170FA6">
        <w:rPr>
          <w:rFonts w:ascii="Calibri" w:hAnsi="Calibri"/>
          <w:strike/>
          <w:color w:val="000000"/>
          <w:sz w:val="16"/>
          <w:szCs w:val="16"/>
        </w:rPr>
        <w:t>nonché, nei casi di cui al comma 1-bis, le destinazioni d'uso</w:t>
      </w:r>
      <w:r w:rsidRPr="00170FA6">
        <w:rPr>
          <w:rFonts w:ascii="Calibri" w:hAnsi="Calibri"/>
          <w:color w:val="000000"/>
          <w:sz w:val="16"/>
          <w:szCs w:val="16"/>
        </w:rPr>
        <w:t>,</w:t>
      </w:r>
      <w:r w:rsidRPr="00170FA6">
        <w:rPr>
          <w:rStyle w:val="apple-converted-space"/>
          <w:rFonts w:ascii="Calibri" w:hAnsi="Calibri"/>
          <w:color w:val="000000"/>
          <w:sz w:val="16"/>
          <w:szCs w:val="16"/>
        </w:rPr>
        <w:t> </w:t>
      </w:r>
      <w:r w:rsidRPr="00170FA6">
        <w:rPr>
          <w:rFonts w:ascii="Calibri" w:hAnsi="Calibri"/>
          <w:b/>
          <w:bCs/>
          <w:color w:val="000000"/>
          <w:sz w:val="16"/>
          <w:szCs w:val="16"/>
        </w:rPr>
        <w:t>nonché le destinazioni d’uso ammissibili</w:t>
      </w:r>
      <w:r w:rsidRPr="00170FA6">
        <w:rPr>
          <w:rStyle w:val="apple-converted-space"/>
          <w:rFonts w:ascii="Calibri" w:hAnsi="Calibri"/>
          <w:b/>
          <w:bCs/>
          <w:color w:val="000000"/>
          <w:sz w:val="16"/>
          <w:szCs w:val="16"/>
        </w:rPr>
        <w:t> </w:t>
      </w:r>
      <w:r w:rsidRPr="00170FA6">
        <w:rPr>
          <w:rFonts w:ascii="Calibri" w:hAnsi="Calibri"/>
          <w:color w:val="000000"/>
          <w:sz w:val="16"/>
          <w:szCs w:val="16"/>
        </w:rPr>
        <w:t>fermo restando in ogni caso il rispetto delle disposizioni di cui agli</w:t>
      </w:r>
      <w:r w:rsidRPr="00170FA6">
        <w:rPr>
          <w:rStyle w:val="apple-converted-space"/>
          <w:rFonts w:ascii="Calibri" w:hAnsi="Calibri"/>
          <w:color w:val="000000"/>
          <w:sz w:val="16"/>
          <w:szCs w:val="16"/>
        </w:rPr>
        <w:t> </w:t>
      </w:r>
      <w:hyperlink r:id="rId32" w:history="1">
        <w:r w:rsidRPr="00170FA6">
          <w:rPr>
            <w:rStyle w:val="Collegamentoipertestuale"/>
            <w:rFonts w:ascii="Calibri" w:hAnsi="Calibri"/>
            <w:sz w:val="16"/>
            <w:szCs w:val="16"/>
          </w:rPr>
          <w:t>articoli 7, 8 e 9 del decreto ministeriale 2 aprile 1968, n. 1444</w:t>
        </w:r>
      </w:hyperlink>
      <w:r w:rsidRPr="00170FA6">
        <w:rPr>
          <w:rFonts w:ascii="Calibri" w:hAnsi="Calibri"/>
          <w:color w:val="000000"/>
          <w:sz w:val="16"/>
          <w:szCs w:val="16"/>
        </w:rPr>
        <w:t>.</w:t>
      </w:r>
      <w:r w:rsidRPr="00170FA6">
        <w:rPr>
          <w:rFonts w:ascii="Calibri" w:hAnsi="Calibri"/>
          <w:color w:val="000000"/>
          <w:sz w:val="16"/>
          <w:szCs w:val="16"/>
        </w:rPr>
        <w:br/>
      </w:r>
      <w:r w:rsidRPr="00170FA6">
        <w:rPr>
          <w:rFonts w:ascii="Calibri" w:hAnsi="Calibri"/>
          <w:i/>
          <w:iCs/>
          <w:color w:val="FF0000"/>
          <w:sz w:val="16"/>
          <w:szCs w:val="16"/>
        </w:rPr>
        <w:t>(comma modificato dall'</w:t>
      </w:r>
      <w:hyperlink r:id="rId33" w:anchor="17" w:history="1">
        <w:r w:rsidRPr="00170FA6">
          <w:rPr>
            <w:rStyle w:val="Collegamentoipertestuale"/>
            <w:rFonts w:ascii="Calibri" w:hAnsi="Calibri"/>
            <w:i/>
            <w:iCs/>
            <w:sz w:val="16"/>
            <w:szCs w:val="16"/>
          </w:rPr>
          <w:t>art. 17, comma 1, lettera e), legge n. 164 del 2014</w:t>
        </w:r>
      </w:hyperlink>
      <w:r w:rsidRPr="00170FA6">
        <w:rPr>
          <w:rFonts w:ascii="Calibri" w:hAnsi="Calibri"/>
          <w:i/>
          <w:iCs/>
          <w:color w:val="FF0000"/>
          <w:sz w:val="16"/>
          <w:szCs w:val="16"/>
        </w:rPr>
        <w:t>, poi dall'</w:t>
      </w:r>
      <w:hyperlink r:id="rId34" w:anchor="10" w:history="1">
        <w:r w:rsidRPr="00170FA6">
          <w:rPr>
            <w:rStyle w:val="Collegamentoipertestuale"/>
            <w:rFonts w:ascii="Calibri" w:hAnsi="Calibri"/>
            <w:i/>
            <w:iCs/>
            <w:sz w:val="16"/>
            <w:szCs w:val="16"/>
          </w:rPr>
          <w:t>art. 10, comma 1, lettera f), del decreto-legge n. 76 del 2020</w:t>
        </w:r>
      </w:hyperlink>
      <w:r w:rsidRPr="00170FA6">
        <w:rPr>
          <w:rFonts w:ascii="Calibri" w:hAnsi="Calibri"/>
          <w:i/>
          <w:iCs/>
          <w:color w:val="FF0000"/>
          <w:sz w:val="16"/>
          <w:szCs w:val="16"/>
        </w:rPr>
        <w:t>)</w:t>
      </w:r>
    </w:p>
    <w:p w:rsidR="0060283D" w:rsidRPr="00170FA6" w:rsidRDefault="0060283D">
      <w:pPr>
        <w:pStyle w:val="Testonotaapidipagina"/>
        <w:rPr>
          <w:sz w:val="16"/>
          <w:szCs w:val="16"/>
        </w:rPr>
      </w:pPr>
    </w:p>
  </w:footnote>
  <w:footnote w:id="7">
    <w:p w:rsidR="0060283D" w:rsidRPr="00170FA6" w:rsidRDefault="0060283D" w:rsidP="00170FA6">
      <w:pPr>
        <w:pStyle w:val="NormaleWeb"/>
        <w:shd w:val="clear" w:color="auto" w:fill="F5FDFE"/>
        <w:rPr>
          <w:rFonts w:ascii="-webkit-standard" w:hAnsi="-webkit-standard"/>
          <w:color w:val="000000"/>
          <w:sz w:val="16"/>
          <w:szCs w:val="16"/>
        </w:rPr>
      </w:pPr>
      <w:r>
        <w:rPr>
          <w:rStyle w:val="Rimandonotaapidipagina"/>
        </w:rPr>
        <w:footnoteRef/>
      </w:r>
      <w:r>
        <w:t xml:space="preserve"> </w:t>
      </w:r>
      <w:r w:rsidRPr="00170FA6">
        <w:rPr>
          <w:rFonts w:ascii="Calibri" w:hAnsi="Calibri"/>
          <w:color w:val="000000"/>
          <w:sz w:val="16"/>
          <w:szCs w:val="16"/>
        </w:rPr>
        <w:t>4. L'incidenza degli oneri di urbanizzazione primaria e secondaria è stabilita con deliberazione del consiglio comunale in base alle tabelle parametriche che la regione definisce per classi di comuni in relazione:</w:t>
      </w:r>
    </w:p>
    <w:p w:rsidR="0060283D" w:rsidRPr="00170FA6" w:rsidRDefault="0060283D" w:rsidP="00170FA6">
      <w:pPr>
        <w:pStyle w:val="NormaleWeb"/>
        <w:shd w:val="clear" w:color="auto" w:fill="F5FDFE"/>
        <w:rPr>
          <w:rFonts w:ascii="-webkit-standard" w:hAnsi="-webkit-standard"/>
          <w:color w:val="000000"/>
          <w:sz w:val="16"/>
          <w:szCs w:val="16"/>
        </w:rPr>
      </w:pPr>
      <w:r w:rsidRPr="00170FA6">
        <w:rPr>
          <w:rFonts w:ascii="Calibri" w:hAnsi="Calibri"/>
          <w:color w:val="000000"/>
          <w:sz w:val="16"/>
          <w:szCs w:val="16"/>
        </w:rPr>
        <w:t>a) all'ampiezza ed all'andamento demografico dei comuni;</w:t>
      </w:r>
      <w:r w:rsidRPr="00170FA6">
        <w:rPr>
          <w:rFonts w:ascii="Calibri" w:hAnsi="Calibri"/>
          <w:color w:val="000000"/>
          <w:sz w:val="16"/>
          <w:szCs w:val="16"/>
        </w:rPr>
        <w:br/>
        <w:t>b) alle caratteristiche geografiche dei comuni;</w:t>
      </w:r>
      <w:r w:rsidRPr="00170FA6">
        <w:rPr>
          <w:rFonts w:ascii="Calibri" w:hAnsi="Calibri"/>
          <w:color w:val="000000"/>
          <w:sz w:val="16"/>
          <w:szCs w:val="16"/>
        </w:rPr>
        <w:br/>
        <w:t>c) alle destinazioni di zona previste negli strumenti urbanistici vigenti;</w:t>
      </w:r>
      <w:r w:rsidRPr="00170FA6">
        <w:rPr>
          <w:rFonts w:ascii="Calibri" w:hAnsi="Calibri"/>
          <w:color w:val="000000"/>
          <w:sz w:val="16"/>
          <w:szCs w:val="16"/>
        </w:rPr>
        <w:br/>
        <w:t>d) ai limiti e rapporti minimi inderogabili fissati in applicazione dall'</w:t>
      </w:r>
      <w:hyperlink r:id="rId35" w:anchor="41.qui" w:history="1">
        <w:r w:rsidRPr="00170FA6">
          <w:rPr>
            <w:rStyle w:val="Collegamentoipertestuale"/>
            <w:rFonts w:ascii="Calibri" w:hAnsi="Calibri"/>
            <w:sz w:val="16"/>
            <w:szCs w:val="16"/>
          </w:rPr>
          <w:t>articolo 41-quinquies, penultimo e ultimo comma, della legge 17 agosto 1942, n. 1150</w:t>
        </w:r>
      </w:hyperlink>
      <w:r w:rsidRPr="00170FA6">
        <w:rPr>
          <w:rFonts w:ascii="Calibri" w:hAnsi="Calibri"/>
          <w:color w:val="000000"/>
          <w:sz w:val="16"/>
          <w:szCs w:val="16"/>
        </w:rPr>
        <w:t>, e successive modifiche e integrazioni, nonché delle leggi regionali;</w:t>
      </w:r>
      <w:r w:rsidRPr="00170FA6">
        <w:rPr>
          <w:rFonts w:ascii="Calibri" w:hAnsi="Calibri"/>
          <w:color w:val="000000"/>
          <w:sz w:val="16"/>
          <w:szCs w:val="16"/>
        </w:rPr>
        <w:br/>
        <w:t>d-bis) alla differenziazione tra gli interventi al fine di incentivare, in modo particolare nelle aree a maggiore densità del costruito, quelli di ristrutturazione edilizia di cui all'</w:t>
      </w:r>
      <w:hyperlink r:id="rId36" w:anchor="003" w:history="1">
        <w:r w:rsidRPr="00170FA6">
          <w:rPr>
            <w:rStyle w:val="Collegamentoipertestuale"/>
            <w:rFonts w:ascii="Calibri" w:hAnsi="Calibri"/>
            <w:sz w:val="16"/>
            <w:szCs w:val="16"/>
          </w:rPr>
          <w:t>articolo 3, comma 1, lettera d)</w:t>
        </w:r>
      </w:hyperlink>
      <w:r w:rsidRPr="00170FA6">
        <w:rPr>
          <w:rFonts w:ascii="Calibri" w:hAnsi="Calibri"/>
          <w:color w:val="000000"/>
          <w:sz w:val="16"/>
          <w:szCs w:val="16"/>
        </w:rPr>
        <w:t>, anziché quelli di nuova costruzione;</w:t>
      </w:r>
      <w:r w:rsidRPr="00170FA6">
        <w:rPr>
          <w:rStyle w:val="apple-converted-space"/>
          <w:rFonts w:ascii="Calibri" w:hAnsi="Calibri"/>
          <w:color w:val="000000"/>
          <w:sz w:val="16"/>
          <w:szCs w:val="16"/>
        </w:rPr>
        <w:t> </w:t>
      </w:r>
      <w:r w:rsidRPr="00170FA6">
        <w:rPr>
          <w:rFonts w:ascii="Calibri" w:hAnsi="Calibri"/>
          <w:color w:val="000000"/>
          <w:sz w:val="16"/>
          <w:szCs w:val="16"/>
        </w:rPr>
        <w:br/>
      </w:r>
      <w:r w:rsidRPr="00170FA6">
        <w:rPr>
          <w:rFonts w:ascii="Calibri" w:hAnsi="Calibri"/>
          <w:i/>
          <w:iCs/>
          <w:color w:val="FF0000"/>
          <w:sz w:val="16"/>
          <w:szCs w:val="16"/>
        </w:rPr>
        <w:t>(lettera aggiunta dall'</w:t>
      </w:r>
      <w:hyperlink r:id="rId37" w:anchor="17" w:history="1">
        <w:r w:rsidRPr="00170FA6">
          <w:rPr>
            <w:rStyle w:val="Collegamentoipertestuale"/>
            <w:rFonts w:ascii="Calibri" w:hAnsi="Calibri"/>
            <w:i/>
            <w:iCs/>
            <w:sz w:val="16"/>
            <w:szCs w:val="16"/>
          </w:rPr>
          <w:t>art. 17, comma 1, lettera g), legge n. 164 del 2014</w:t>
        </w:r>
      </w:hyperlink>
      <w:r w:rsidRPr="00170FA6">
        <w:rPr>
          <w:rFonts w:ascii="Calibri" w:hAnsi="Calibri"/>
          <w:i/>
          <w:iCs/>
          <w:color w:val="FF0000"/>
          <w:sz w:val="16"/>
          <w:szCs w:val="16"/>
        </w:rPr>
        <w:t>)</w:t>
      </w:r>
      <w:r w:rsidRPr="00170FA6">
        <w:rPr>
          <w:rFonts w:ascii="Calibri" w:hAnsi="Calibri"/>
          <w:i/>
          <w:iCs/>
          <w:color w:val="FF0000"/>
          <w:sz w:val="16"/>
          <w:szCs w:val="16"/>
        </w:rPr>
        <w:br/>
      </w:r>
      <w:r w:rsidRPr="00170FA6">
        <w:rPr>
          <w:rFonts w:ascii="Calibri" w:hAnsi="Calibri"/>
          <w:color w:val="000000"/>
          <w:sz w:val="16"/>
          <w:szCs w:val="16"/>
        </w:rPr>
        <w:t>d-ter) alla valutazione del maggior valore generato da interventi su aree o immobili in variante urbanistica</w:t>
      </w:r>
      <w:r w:rsidRPr="00170FA6">
        <w:rPr>
          <w:rFonts w:ascii="Calibri" w:hAnsi="Calibri"/>
          <w:strike/>
          <w:color w:val="000000"/>
          <w:sz w:val="16"/>
          <w:szCs w:val="16"/>
        </w:rPr>
        <w:t>, in deroga o con cambio di destinazione d'uso</w:t>
      </w:r>
      <w:r w:rsidRPr="00170FA6">
        <w:rPr>
          <w:rStyle w:val="apple-converted-space"/>
          <w:rFonts w:ascii="Calibri" w:hAnsi="Calibri"/>
          <w:color w:val="000000"/>
          <w:sz w:val="16"/>
          <w:szCs w:val="16"/>
        </w:rPr>
        <w:t> </w:t>
      </w:r>
      <w:r w:rsidRPr="00170FA6">
        <w:rPr>
          <w:rFonts w:ascii="Calibri" w:hAnsi="Calibri"/>
          <w:b/>
          <w:bCs/>
          <w:color w:val="000000"/>
          <w:sz w:val="16"/>
          <w:szCs w:val="16"/>
        </w:rPr>
        <w:t>o in deroga</w:t>
      </w:r>
      <w:r w:rsidRPr="00170FA6">
        <w:rPr>
          <w:rFonts w:ascii="Calibri" w:hAnsi="Calibri"/>
          <w:color w:val="000000"/>
          <w:sz w:val="16"/>
          <w:szCs w:val="16"/>
        </w:rPr>
        <w:t>. Tale maggior valore, calcolato dall'amministrazione comunale, è suddiviso in misura non inferiore al 50 per cento tra il comune e la parte privata ed è erogato da quest'ultima al comune stesso sotto forma di contributo straordinario, che attesta l'interesse pubblico, in versamento finanziario, vincolato a specifico centro di costo per la realizzazione di opere pubbliche e servizi da realizzare nel contesto in cui ricade l'intervento, cessione di aree o immobili da destinare a servizi di pubblica utilità, edilizia residenziale sociale od opere pubbliche.</w:t>
      </w:r>
      <w:r w:rsidRPr="00170FA6">
        <w:rPr>
          <w:rFonts w:ascii="Calibri" w:hAnsi="Calibri"/>
          <w:color w:val="000000"/>
          <w:sz w:val="16"/>
          <w:szCs w:val="16"/>
        </w:rPr>
        <w:br/>
      </w:r>
      <w:r w:rsidRPr="00170FA6">
        <w:rPr>
          <w:rFonts w:ascii="Calibri" w:hAnsi="Calibri"/>
          <w:i/>
          <w:iCs/>
          <w:color w:val="FF0000"/>
          <w:sz w:val="16"/>
          <w:szCs w:val="16"/>
        </w:rPr>
        <w:t>(lettera aggiunta dall'</w:t>
      </w:r>
      <w:hyperlink r:id="rId38" w:anchor="17" w:history="1">
        <w:r w:rsidRPr="00170FA6">
          <w:rPr>
            <w:rStyle w:val="Collegamentoipertestuale"/>
            <w:rFonts w:ascii="Calibri" w:hAnsi="Calibri"/>
            <w:i/>
            <w:iCs/>
            <w:sz w:val="16"/>
            <w:szCs w:val="16"/>
          </w:rPr>
          <w:t>art. 17, comma 1, lettera g), legge n. 164 del 2014</w:t>
        </w:r>
      </w:hyperlink>
      <w:r w:rsidRPr="00170FA6">
        <w:rPr>
          <w:rFonts w:ascii="Calibri" w:hAnsi="Calibri"/>
          <w:i/>
          <w:iCs/>
          <w:color w:val="FF0000"/>
          <w:sz w:val="16"/>
          <w:szCs w:val="16"/>
        </w:rPr>
        <w:t>, poi così modificata dall'</w:t>
      </w:r>
      <w:hyperlink r:id="rId39" w:anchor="10" w:history="1">
        <w:r w:rsidRPr="00170FA6">
          <w:rPr>
            <w:rStyle w:val="Collegamentoipertestuale"/>
            <w:rFonts w:ascii="Calibri" w:hAnsi="Calibri"/>
            <w:i/>
            <w:iCs/>
            <w:sz w:val="16"/>
            <w:szCs w:val="16"/>
          </w:rPr>
          <w:t>art. 10, comma 1, lettera g), del decreto-legge n. 76 del 2</w:t>
        </w:r>
      </w:hyperlink>
    </w:p>
    <w:p w:rsidR="0060283D" w:rsidRDefault="0060283D">
      <w:pPr>
        <w:pStyle w:val="Testonotaapidipagina"/>
      </w:pPr>
    </w:p>
  </w:footnote>
  <w:footnote w:id="8">
    <w:p w:rsidR="0060283D" w:rsidRPr="00170FA6" w:rsidRDefault="0060283D" w:rsidP="00170FA6">
      <w:pPr>
        <w:pStyle w:val="NormaleWeb"/>
        <w:shd w:val="clear" w:color="auto" w:fill="F5FDFE"/>
        <w:rPr>
          <w:rFonts w:ascii="-webkit-standard" w:hAnsi="-webkit-standard"/>
          <w:color w:val="000000"/>
          <w:sz w:val="16"/>
          <w:szCs w:val="16"/>
        </w:rPr>
      </w:pPr>
      <w:r>
        <w:rPr>
          <w:rStyle w:val="Rimandonotaapidipagina"/>
        </w:rPr>
        <w:footnoteRef/>
      </w:r>
      <w:r>
        <w:t xml:space="preserve"> </w:t>
      </w:r>
      <w:bookmarkStart w:id="7" w:name="017"/>
      <w:r w:rsidRPr="00170FA6">
        <w:rPr>
          <w:rFonts w:ascii="Calibri" w:hAnsi="Calibri"/>
          <w:b/>
          <w:bCs/>
          <w:color w:val="000000"/>
          <w:sz w:val="16"/>
          <w:szCs w:val="16"/>
        </w:rPr>
        <w:t>Art. 17 (L) - Riduzione o esonero dal contributo di costruzione.</w:t>
      </w:r>
      <w:bookmarkEnd w:id="7"/>
    </w:p>
    <w:p w:rsidR="0060283D" w:rsidRPr="00170FA6" w:rsidRDefault="0060283D" w:rsidP="00170FA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1. Nei casi di edilizia abitativa convenzionata, relativa anche ad edifici esistenti, il contributo afferente al permesso di costruire è ridotto alla sola quota degli oneri di urbanizzazione qualora il titolare del permesso si impegni, a mezzo di una convenzione con il comune, ad applicare prezzi di vendita e canoni di locazione determinati ai sensi della convenzione-tipo prevista dall’articolo 18.</w:t>
      </w:r>
    </w:p>
    <w:p w:rsidR="0060283D" w:rsidRPr="00170FA6" w:rsidRDefault="0060283D" w:rsidP="00170FA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2. Il contributo per la realizzazione della prima abitazione è pari a quanto stabilito per la corrispondente edilizia residenziale pubblica, purché sussistano i requisiti indicati dalla normativa di settore.</w:t>
      </w:r>
    </w:p>
    <w:p w:rsidR="0060283D" w:rsidRPr="00170FA6" w:rsidRDefault="0060283D" w:rsidP="00170FA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3. Il contributo di costruzione non è dovuto:</w:t>
      </w:r>
    </w:p>
    <w:p w:rsidR="0060283D" w:rsidRPr="00170FA6" w:rsidRDefault="0060283D" w:rsidP="00170FA6">
      <w:pPr>
        <w:shd w:val="clear" w:color="auto" w:fill="F5FDFE"/>
        <w:spacing w:beforeAutospacing="1"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a) per gli interventi da realizzare nelle zone agricole, ivi comprese le residenze, in funzione della conduzione del fondo e delle esigenze dell’imprenditore agricolo a titolo principale, ai sensi dell’articolo 12 della legge 9 maggio 1975, n. 153;</w:t>
      </w:r>
      <w:r w:rsidRPr="00170FA6">
        <w:rPr>
          <w:rFonts w:ascii="Calibri" w:eastAsia="Times New Roman" w:hAnsi="Calibri" w:cs="Times New Roman"/>
          <w:i/>
          <w:iCs/>
          <w:color w:val="FF0000"/>
          <w:sz w:val="16"/>
          <w:szCs w:val="16"/>
          <w:lang w:eastAsia="it-IT"/>
        </w:rPr>
        <w:t> (si vedano ora l'</w:t>
      </w:r>
      <w:hyperlink r:id="rId40" w:history="1">
        <w:r w:rsidRPr="00170FA6">
          <w:rPr>
            <w:rFonts w:ascii="Calibri" w:eastAsia="Times New Roman" w:hAnsi="Calibri" w:cs="Times New Roman"/>
            <w:i/>
            <w:iCs/>
            <w:color w:val="0000FF"/>
            <w:sz w:val="16"/>
            <w:szCs w:val="16"/>
            <w:u w:val="single"/>
            <w:lang w:eastAsia="it-IT"/>
          </w:rPr>
          <w:t>art. 1, comma 1 del d.lgs. n. 99 del 2004</w:t>
        </w:r>
      </w:hyperlink>
      <w:r w:rsidRPr="00170FA6">
        <w:rPr>
          <w:rFonts w:ascii="Calibri" w:eastAsia="Times New Roman" w:hAnsi="Calibri" w:cs="Times New Roman"/>
          <w:i/>
          <w:iCs/>
          <w:color w:val="FF0000"/>
          <w:sz w:val="16"/>
          <w:szCs w:val="16"/>
          <w:lang w:eastAsia="it-IT"/>
        </w:rPr>
        <w:t> e l'</w:t>
      </w:r>
      <w:hyperlink r:id="rId41" w:anchor="2135" w:history="1">
        <w:r w:rsidRPr="00170FA6">
          <w:rPr>
            <w:rFonts w:ascii="Calibri" w:eastAsia="Times New Roman" w:hAnsi="Calibri" w:cs="Times New Roman"/>
            <w:i/>
            <w:iCs/>
            <w:color w:val="0000FF"/>
            <w:sz w:val="16"/>
            <w:szCs w:val="16"/>
            <w:u w:val="single"/>
            <w:lang w:eastAsia="it-IT"/>
          </w:rPr>
          <w:t>articolo 2135 del codice civile</w:t>
        </w:r>
      </w:hyperlink>
      <w:r w:rsidRPr="00170FA6">
        <w:rPr>
          <w:rFonts w:ascii="Calibri" w:eastAsia="Times New Roman" w:hAnsi="Calibri" w:cs="Times New Roman"/>
          <w:i/>
          <w:iCs/>
          <w:color w:val="FF0000"/>
          <w:sz w:val="16"/>
          <w:szCs w:val="16"/>
          <w:lang w:eastAsia="it-IT"/>
        </w:rPr>
        <w:t>)</w:t>
      </w:r>
      <w:r w:rsidRPr="00170FA6">
        <w:rPr>
          <w:rFonts w:ascii="Calibri" w:eastAsia="Times New Roman" w:hAnsi="Calibri" w:cs="Times New Roman"/>
          <w:color w:val="000000"/>
          <w:sz w:val="16"/>
          <w:szCs w:val="16"/>
          <w:lang w:eastAsia="it-IT"/>
        </w:rPr>
        <w:br/>
        <w:t>b) per gli interventi di ristrutturazione e di ampliamento, in misura non superiore al 20%, di edifici unifamiliari;</w:t>
      </w:r>
      <w:r w:rsidRPr="00170FA6">
        <w:rPr>
          <w:rFonts w:ascii="Calibri" w:eastAsia="Times New Roman" w:hAnsi="Calibri" w:cs="Times New Roman"/>
          <w:color w:val="000000"/>
          <w:sz w:val="16"/>
          <w:szCs w:val="16"/>
          <w:lang w:eastAsia="it-IT"/>
        </w:rPr>
        <w:br/>
        <w:t>c) per gli impianti, le attrezzature, le opere pubbliche o di interesse generale realizzate dagli enti istituzionalmente competenti nonché per le opere di urbanizzazione, eseguite anche da privati, in attuazione di strumenti urbanistici;</w:t>
      </w:r>
      <w:r w:rsidRPr="00170FA6">
        <w:rPr>
          <w:rFonts w:ascii="Calibri" w:eastAsia="Times New Roman" w:hAnsi="Calibri" w:cs="Times New Roman"/>
          <w:color w:val="000000"/>
          <w:sz w:val="16"/>
          <w:szCs w:val="16"/>
          <w:lang w:eastAsia="it-IT"/>
        </w:rPr>
        <w:br/>
        <w:t>d) per gli interventi da realizzare in attuazione di norme o di provvedimenti emanati a seguito di pubbliche calamità;</w:t>
      </w:r>
      <w:r w:rsidRPr="00170FA6">
        <w:rPr>
          <w:rFonts w:ascii="Calibri" w:eastAsia="Times New Roman" w:hAnsi="Calibri" w:cs="Times New Roman"/>
          <w:color w:val="000000"/>
          <w:sz w:val="16"/>
          <w:szCs w:val="16"/>
          <w:lang w:eastAsia="it-IT"/>
        </w:rPr>
        <w:br/>
        <w:t>e) per i nuovi impianti, lavori, opere, modifiche, installazioni, relativi alle fonti rinnovabili di energia, alla conservazione, al risparmio e all'uso razionale dell'energia, nel rispetto delle norme urbanistiche, di tutela dell’assetto idrogeologico, artistico-storica e ambientale.</w:t>
      </w:r>
      <w:r w:rsidRPr="00170FA6">
        <w:rPr>
          <w:rFonts w:ascii="Calibri" w:eastAsia="Times New Roman" w:hAnsi="Calibri" w:cs="Times New Roman"/>
          <w:color w:val="000000"/>
          <w:sz w:val="16"/>
          <w:szCs w:val="16"/>
          <w:lang w:eastAsia="it-IT"/>
        </w:rPr>
        <w:br/>
      </w:r>
      <w:r w:rsidRPr="00170FA6">
        <w:rPr>
          <w:rFonts w:ascii="Calibri" w:eastAsia="Times New Roman" w:hAnsi="Calibri" w:cs="Times New Roman"/>
          <w:i/>
          <w:iCs/>
          <w:color w:val="FF0000"/>
          <w:sz w:val="16"/>
          <w:szCs w:val="16"/>
          <w:lang w:eastAsia="it-IT"/>
        </w:rPr>
        <w:t>(lettera modificata dall'</w:t>
      </w:r>
      <w:hyperlink r:id="rId42" w:anchor="54" w:history="1">
        <w:r w:rsidRPr="00170FA6">
          <w:rPr>
            <w:rFonts w:ascii="Calibri" w:eastAsia="Times New Roman" w:hAnsi="Calibri" w:cs="Times New Roman"/>
            <w:i/>
            <w:iCs/>
            <w:color w:val="0000FF"/>
            <w:sz w:val="16"/>
            <w:szCs w:val="16"/>
            <w:u w:val="single"/>
            <w:lang w:eastAsia="it-IT"/>
          </w:rPr>
          <w:t xml:space="preserve">art. 54, comma 2, </w:t>
        </w:r>
        <w:proofErr w:type="spellStart"/>
        <w:r w:rsidRPr="00170FA6">
          <w:rPr>
            <w:rFonts w:ascii="Calibri" w:eastAsia="Times New Roman" w:hAnsi="Calibri" w:cs="Times New Roman"/>
            <w:i/>
            <w:iCs/>
            <w:color w:val="0000FF"/>
            <w:sz w:val="16"/>
            <w:szCs w:val="16"/>
            <w:u w:val="single"/>
            <w:lang w:eastAsia="it-IT"/>
          </w:rPr>
          <w:t>lett</w:t>
        </w:r>
        <w:proofErr w:type="spellEnd"/>
        <w:r w:rsidRPr="00170FA6">
          <w:rPr>
            <w:rFonts w:ascii="Calibri" w:eastAsia="Times New Roman" w:hAnsi="Calibri" w:cs="Times New Roman"/>
            <w:i/>
            <w:iCs/>
            <w:color w:val="0000FF"/>
            <w:sz w:val="16"/>
            <w:szCs w:val="16"/>
            <w:u w:val="single"/>
            <w:lang w:eastAsia="it-IT"/>
          </w:rPr>
          <w:t>. d), legge n. 221 del 2015</w:t>
        </w:r>
      </w:hyperlink>
      <w:r w:rsidRPr="00170FA6">
        <w:rPr>
          <w:rFonts w:ascii="Calibri" w:eastAsia="Times New Roman" w:hAnsi="Calibri" w:cs="Times New Roman"/>
          <w:i/>
          <w:iCs/>
          <w:color w:val="FF0000"/>
          <w:sz w:val="16"/>
          <w:szCs w:val="16"/>
          <w:lang w:eastAsia="it-IT"/>
        </w:rPr>
        <w:t>)</w:t>
      </w:r>
    </w:p>
    <w:p w:rsidR="0060283D" w:rsidRPr="00170FA6" w:rsidRDefault="0060283D" w:rsidP="00170FA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color w:val="000000"/>
          <w:sz w:val="16"/>
          <w:szCs w:val="16"/>
          <w:lang w:eastAsia="it-IT"/>
        </w:rPr>
        <w:t>4. Per gli interventi da realizzare su immobili di proprietà dello Stato, nonché per gli interventi di manutenzione straordinaria di cui all'</w:t>
      </w:r>
      <w:hyperlink r:id="rId43" w:anchor="006" w:history="1">
        <w:r w:rsidRPr="00170FA6">
          <w:rPr>
            <w:rFonts w:ascii="Calibri" w:eastAsia="Times New Roman" w:hAnsi="Calibri" w:cs="Times New Roman"/>
            <w:color w:val="0000FF"/>
            <w:sz w:val="16"/>
            <w:szCs w:val="16"/>
            <w:u w:val="single"/>
            <w:lang w:eastAsia="it-IT"/>
          </w:rPr>
          <w:t>articolo 6, comma 2, lettera a)</w:t>
        </w:r>
      </w:hyperlink>
      <w:r w:rsidRPr="00170FA6">
        <w:rPr>
          <w:rFonts w:ascii="Calibri" w:eastAsia="Times New Roman" w:hAnsi="Calibri" w:cs="Times New Roman"/>
          <w:color w:val="000000"/>
          <w:sz w:val="16"/>
          <w:szCs w:val="16"/>
          <w:lang w:eastAsia="it-IT"/>
        </w:rPr>
        <w:t> </w:t>
      </w:r>
      <w:r w:rsidRPr="00170FA6">
        <w:rPr>
          <w:rFonts w:ascii="Calibri" w:eastAsia="Times New Roman" w:hAnsi="Calibri" w:cs="Times New Roman"/>
          <w:i/>
          <w:iCs/>
          <w:color w:val="FF0000"/>
          <w:sz w:val="16"/>
          <w:szCs w:val="16"/>
          <w:lang w:eastAsia="it-IT"/>
        </w:rPr>
        <w:t>(ora il riferimento corretto dovrebbe essere all'</w:t>
      </w:r>
      <w:hyperlink r:id="rId44" w:anchor="03" w:history="1">
        <w:r w:rsidRPr="00170FA6">
          <w:rPr>
            <w:rFonts w:ascii="Calibri" w:eastAsia="Times New Roman" w:hAnsi="Calibri" w:cs="Times New Roman"/>
            <w:i/>
            <w:iCs/>
            <w:color w:val="0000FF"/>
            <w:sz w:val="16"/>
            <w:szCs w:val="16"/>
            <w:u w:val="single"/>
            <w:lang w:eastAsia="it-IT"/>
          </w:rPr>
          <w:t>art. 3, comma 1, lettera b)</w:t>
        </w:r>
      </w:hyperlink>
      <w:r w:rsidRPr="00170FA6">
        <w:rPr>
          <w:rFonts w:ascii="Calibri" w:eastAsia="Times New Roman" w:hAnsi="Calibri" w:cs="Times New Roman"/>
          <w:i/>
          <w:iCs/>
          <w:color w:val="FF0000"/>
          <w:sz w:val="16"/>
          <w:szCs w:val="16"/>
          <w:lang w:eastAsia="it-IT"/>
        </w:rPr>
        <w:t> e all'</w:t>
      </w:r>
      <w:hyperlink r:id="rId45" w:anchor="006-bis" w:history="1">
        <w:r w:rsidRPr="00170FA6">
          <w:rPr>
            <w:rFonts w:ascii="Calibri" w:eastAsia="Times New Roman" w:hAnsi="Calibri" w:cs="Times New Roman"/>
            <w:i/>
            <w:iCs/>
            <w:color w:val="0000FF"/>
            <w:sz w:val="16"/>
            <w:szCs w:val="16"/>
            <w:u w:val="single"/>
            <w:lang w:eastAsia="it-IT"/>
          </w:rPr>
          <w:t>art. 6-bis</w:t>
        </w:r>
      </w:hyperlink>
      <w:r w:rsidRPr="00170FA6">
        <w:rPr>
          <w:rFonts w:ascii="Calibri" w:eastAsia="Times New Roman" w:hAnsi="Calibri" w:cs="Times New Roman"/>
          <w:i/>
          <w:iCs/>
          <w:color w:val="FF0000"/>
          <w:sz w:val="16"/>
          <w:szCs w:val="16"/>
          <w:lang w:eastAsia="it-IT"/>
        </w:rPr>
        <w:t xml:space="preserve"> - </w:t>
      </w:r>
      <w:proofErr w:type="spellStart"/>
      <w:r w:rsidRPr="00170FA6">
        <w:rPr>
          <w:rFonts w:ascii="Calibri" w:eastAsia="Times New Roman" w:hAnsi="Calibri" w:cs="Times New Roman"/>
          <w:i/>
          <w:iCs/>
          <w:color w:val="FF0000"/>
          <w:sz w:val="16"/>
          <w:szCs w:val="16"/>
          <w:lang w:eastAsia="it-IT"/>
        </w:rPr>
        <w:t>n.d.r.</w:t>
      </w:r>
      <w:proofErr w:type="spellEnd"/>
      <w:r w:rsidRPr="00170FA6">
        <w:rPr>
          <w:rFonts w:ascii="Calibri" w:eastAsia="Times New Roman" w:hAnsi="Calibri" w:cs="Times New Roman"/>
          <w:i/>
          <w:iCs/>
          <w:color w:val="FF0000"/>
          <w:sz w:val="16"/>
          <w:szCs w:val="16"/>
          <w:lang w:eastAsia="it-IT"/>
        </w:rPr>
        <w:t>)</w:t>
      </w:r>
      <w:r w:rsidRPr="00170FA6">
        <w:rPr>
          <w:rFonts w:ascii="Calibri" w:eastAsia="Times New Roman" w:hAnsi="Calibri" w:cs="Times New Roman"/>
          <w:color w:val="000000"/>
          <w:sz w:val="16"/>
          <w:szCs w:val="16"/>
          <w:lang w:eastAsia="it-IT"/>
        </w:rPr>
        <w:t>, qualora comportanti aumento del carico urbanistico, il contributo di costruzione è commisurato alla incidenza delle sole opere di urbanizzazione, purché ne derivi un aumento della superficie calpestabile.</w:t>
      </w:r>
      <w:r w:rsidRPr="00170FA6">
        <w:rPr>
          <w:rFonts w:ascii="Calibri" w:eastAsia="Times New Roman" w:hAnsi="Calibri" w:cs="Times New Roman"/>
          <w:color w:val="000000"/>
          <w:sz w:val="16"/>
          <w:szCs w:val="16"/>
          <w:lang w:eastAsia="it-IT"/>
        </w:rPr>
        <w:br/>
      </w:r>
      <w:r w:rsidRPr="00170FA6">
        <w:rPr>
          <w:rFonts w:ascii="Calibri" w:eastAsia="Times New Roman" w:hAnsi="Calibri" w:cs="Times New Roman"/>
          <w:i/>
          <w:iCs/>
          <w:color w:val="FF0000"/>
          <w:sz w:val="16"/>
          <w:szCs w:val="16"/>
          <w:lang w:eastAsia="it-IT"/>
        </w:rPr>
        <w:t>(comma così modificato dall'</w:t>
      </w:r>
      <w:hyperlink r:id="rId46" w:anchor="17" w:history="1">
        <w:r w:rsidRPr="00170FA6">
          <w:rPr>
            <w:rFonts w:ascii="Calibri" w:eastAsia="Times New Roman" w:hAnsi="Calibri" w:cs="Times New Roman"/>
            <w:i/>
            <w:iCs/>
            <w:color w:val="0000FF"/>
            <w:sz w:val="16"/>
            <w:szCs w:val="16"/>
            <w:u w:val="single"/>
            <w:lang w:eastAsia="it-IT"/>
          </w:rPr>
          <w:t>art. 17, comma 1, lettera h), legge n. 164 del 2014</w:t>
        </w:r>
      </w:hyperlink>
      <w:r w:rsidRPr="00170FA6">
        <w:rPr>
          <w:rFonts w:ascii="Calibri" w:eastAsia="Times New Roman" w:hAnsi="Calibri" w:cs="Times New Roman"/>
          <w:i/>
          <w:iCs/>
          <w:color w:val="FF0000"/>
          <w:sz w:val="16"/>
          <w:szCs w:val="16"/>
          <w:lang w:eastAsia="it-IT"/>
        </w:rPr>
        <w:t>)</w:t>
      </w:r>
    </w:p>
    <w:p w:rsidR="0060283D" w:rsidRPr="00170FA6" w:rsidRDefault="0060283D" w:rsidP="00170FA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170FA6">
        <w:rPr>
          <w:rFonts w:ascii="Calibri" w:eastAsia="Times New Roman" w:hAnsi="Calibri" w:cs="Times New Roman"/>
          <w:strike/>
          <w:color w:val="000000"/>
          <w:sz w:val="16"/>
          <w:szCs w:val="16"/>
          <w:lang w:eastAsia="it-IT"/>
        </w:rPr>
        <w:t xml:space="preserve">4-bis. Al fine di agevolare gli interventi di </w:t>
      </w:r>
      <w:proofErr w:type="spellStart"/>
      <w:r w:rsidRPr="00170FA6">
        <w:rPr>
          <w:rFonts w:ascii="Calibri" w:eastAsia="Times New Roman" w:hAnsi="Calibri" w:cs="Times New Roman"/>
          <w:strike/>
          <w:color w:val="000000"/>
          <w:sz w:val="16"/>
          <w:szCs w:val="16"/>
          <w:lang w:eastAsia="it-IT"/>
        </w:rPr>
        <w:t>densificazione</w:t>
      </w:r>
      <w:proofErr w:type="spellEnd"/>
      <w:r w:rsidRPr="00170FA6">
        <w:rPr>
          <w:rFonts w:ascii="Calibri" w:eastAsia="Times New Roman" w:hAnsi="Calibri" w:cs="Times New Roman"/>
          <w:strike/>
          <w:color w:val="000000"/>
          <w:sz w:val="16"/>
          <w:szCs w:val="16"/>
          <w:lang w:eastAsia="it-IT"/>
        </w:rPr>
        <w:t xml:space="preserve"> edilizia, per la ristrutturazione, il recupero e il riuso degli immobili dismessi o in via di dismissione, il contributo di costruzione è ridotto in misura non inferiore al venti per cento rispetto a quello previsto per le nuove costruzioni nei casi non interessati da varianti urbanistiche, deroghe o cambi di destinazione d'uso comportanti maggior valore rispetto alla destinazione originaria. I comuni definiscono, entro novanta giorni dall'entrata in vigore della presente disposizione, i criteri e le modalità applicative per l'applicazione della relativa riduzione.</w:t>
      </w:r>
      <w:r w:rsidRPr="00170FA6">
        <w:rPr>
          <w:rFonts w:ascii="Calibri" w:eastAsia="Times New Roman" w:hAnsi="Calibri" w:cs="Times New Roman"/>
          <w:b/>
          <w:bCs/>
          <w:color w:val="000000"/>
          <w:sz w:val="16"/>
          <w:szCs w:val="16"/>
          <w:lang w:eastAsia="it-IT"/>
        </w:rPr>
        <w:br/>
      </w:r>
      <w:r w:rsidRPr="00170FA6">
        <w:rPr>
          <w:rFonts w:ascii="Calibri" w:eastAsia="Times New Roman" w:hAnsi="Calibri" w:cs="Times New Roman"/>
          <w:i/>
          <w:iCs/>
          <w:color w:val="FF0000"/>
          <w:sz w:val="16"/>
          <w:szCs w:val="16"/>
          <w:lang w:eastAsia="it-IT"/>
        </w:rPr>
        <w:t>(comma aggiunto dall'</w:t>
      </w:r>
      <w:hyperlink r:id="rId47" w:anchor="17" w:history="1">
        <w:r w:rsidRPr="00170FA6">
          <w:rPr>
            <w:rFonts w:ascii="Calibri" w:eastAsia="Times New Roman" w:hAnsi="Calibri" w:cs="Times New Roman"/>
            <w:i/>
            <w:iCs/>
            <w:color w:val="0000FF"/>
            <w:sz w:val="16"/>
            <w:szCs w:val="16"/>
            <w:u w:val="single"/>
            <w:lang w:eastAsia="it-IT"/>
          </w:rPr>
          <w:t>art. 17, comma 1, lettera h), legge n. 164 del 2014</w:t>
        </w:r>
      </w:hyperlink>
      <w:r w:rsidRPr="00170FA6">
        <w:rPr>
          <w:rFonts w:ascii="Calibri" w:eastAsia="Times New Roman" w:hAnsi="Calibri" w:cs="Times New Roman"/>
          <w:i/>
          <w:iCs/>
          <w:color w:val="FF0000"/>
          <w:sz w:val="16"/>
          <w:szCs w:val="16"/>
          <w:lang w:eastAsia="it-IT"/>
        </w:rPr>
        <w:t>)</w:t>
      </w:r>
      <w:r w:rsidRPr="00170FA6">
        <w:rPr>
          <w:rFonts w:ascii="Calibri" w:eastAsia="Times New Roman" w:hAnsi="Calibri" w:cs="Times New Roman"/>
          <w:i/>
          <w:iCs/>
          <w:color w:val="FF0000"/>
          <w:sz w:val="16"/>
          <w:szCs w:val="16"/>
          <w:lang w:eastAsia="it-IT"/>
        </w:rPr>
        <w:br/>
      </w:r>
      <w:r w:rsidRPr="00170FA6">
        <w:rPr>
          <w:rFonts w:ascii="Calibri" w:eastAsia="Times New Roman" w:hAnsi="Calibri" w:cs="Times New Roman"/>
          <w:b/>
          <w:bCs/>
          <w:color w:val="000000"/>
          <w:sz w:val="16"/>
          <w:szCs w:val="16"/>
          <w:lang w:eastAsia="it-IT"/>
        </w:rPr>
        <w:t>4-bis. Al fine di agevolare gli interventi di rigenerazione urbana, di ristrutturazione, nonché di recupero e riuso degli immobili dismessi o in via di dismissione, il contributo di costruzione è ridotto in misura non inferiore del 20 per cento rispetto a quello previsto dalle tabelle parametriche regionali. I comuni hanno la facoltà di deliberare ulteriori riduzioni del contributo di costruzione, fino alla completa esenzione dallo stesso.</w:t>
      </w:r>
      <w:r w:rsidRPr="00170FA6">
        <w:rPr>
          <w:rFonts w:ascii="Calibri" w:eastAsia="Times New Roman" w:hAnsi="Calibri" w:cs="Times New Roman"/>
          <w:b/>
          <w:bCs/>
          <w:color w:val="000000"/>
          <w:sz w:val="16"/>
          <w:szCs w:val="16"/>
          <w:lang w:eastAsia="it-IT"/>
        </w:rPr>
        <w:br/>
      </w:r>
      <w:r w:rsidRPr="00170FA6">
        <w:rPr>
          <w:rFonts w:ascii="Calibri" w:eastAsia="Times New Roman" w:hAnsi="Calibri" w:cs="Times New Roman"/>
          <w:i/>
          <w:iCs/>
          <w:color w:val="FF0000"/>
          <w:sz w:val="16"/>
          <w:szCs w:val="16"/>
          <w:lang w:eastAsia="it-IT"/>
        </w:rPr>
        <w:t>(comma così sostituito dall'</w:t>
      </w:r>
      <w:hyperlink r:id="rId48" w:anchor="10" w:history="1">
        <w:r w:rsidRPr="00170FA6">
          <w:rPr>
            <w:rFonts w:ascii="Calibri" w:eastAsia="Times New Roman" w:hAnsi="Calibri" w:cs="Times New Roman"/>
            <w:i/>
            <w:iCs/>
            <w:color w:val="0000FF"/>
            <w:sz w:val="16"/>
            <w:szCs w:val="16"/>
            <w:u w:val="single"/>
            <w:lang w:eastAsia="it-IT"/>
          </w:rPr>
          <w:t>art. 10, comma 1, lettera h), del decreto-legge n. 76 del 2020</w:t>
        </w:r>
      </w:hyperlink>
      <w:r w:rsidRPr="00170FA6">
        <w:rPr>
          <w:rFonts w:ascii="Calibri" w:eastAsia="Times New Roman" w:hAnsi="Calibri" w:cs="Times New Roman"/>
          <w:i/>
          <w:iCs/>
          <w:color w:val="FF0000"/>
          <w:sz w:val="16"/>
          <w:szCs w:val="16"/>
          <w:lang w:eastAsia="it-IT"/>
        </w:rPr>
        <w:t>)</w:t>
      </w:r>
    </w:p>
    <w:p w:rsidR="0060283D" w:rsidRPr="00170FA6" w:rsidRDefault="0060283D" w:rsidP="00170FA6">
      <w:pPr>
        <w:rPr>
          <w:rFonts w:ascii="Times New Roman" w:eastAsia="Times New Roman" w:hAnsi="Times New Roman" w:cs="Times New Roman"/>
          <w:lang w:eastAsia="it-IT"/>
        </w:rPr>
      </w:pPr>
    </w:p>
    <w:p w:rsidR="0060283D" w:rsidRDefault="0060283D">
      <w:pPr>
        <w:pStyle w:val="Testonotaapidipagina"/>
      </w:pPr>
    </w:p>
  </w:footnote>
  <w:footnote w:id="9">
    <w:p w:rsidR="0060283D" w:rsidRPr="0032068D" w:rsidRDefault="0060283D" w:rsidP="0032068D">
      <w:pPr>
        <w:pStyle w:val="NormaleWeb"/>
        <w:shd w:val="clear" w:color="auto" w:fill="F5FDFE"/>
        <w:rPr>
          <w:rFonts w:ascii="-webkit-standard" w:hAnsi="-webkit-standard"/>
          <w:color w:val="000000"/>
          <w:sz w:val="16"/>
          <w:szCs w:val="16"/>
        </w:rPr>
      </w:pPr>
      <w:r>
        <w:rPr>
          <w:rStyle w:val="Rimandonotaapidipagina"/>
        </w:rPr>
        <w:footnoteRef/>
      </w:r>
      <w:r>
        <w:t xml:space="preserve"> </w:t>
      </w:r>
      <w:bookmarkStart w:id="8" w:name="020"/>
      <w:r w:rsidRPr="0032068D">
        <w:rPr>
          <w:rFonts w:ascii="Calibri" w:hAnsi="Calibri"/>
          <w:b/>
          <w:bCs/>
          <w:color w:val="000000"/>
          <w:sz w:val="16"/>
          <w:szCs w:val="16"/>
        </w:rPr>
        <w:t>Art. 20 (R) - Procedimento per il rilascio del permesso di costruire</w:t>
      </w:r>
      <w:bookmarkEnd w:id="8"/>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1. La domanda per il rilascio del permesso di costruire, sottoscritta da uno dei soggetti legittimati ai sensi dell'</w:t>
      </w:r>
      <w:hyperlink r:id="rId49" w:anchor="011" w:history="1">
        <w:r w:rsidRPr="0032068D">
          <w:rPr>
            <w:rStyle w:val="Collegamentoipertestuale"/>
            <w:rFonts w:ascii="Calibri" w:hAnsi="Calibri"/>
            <w:sz w:val="16"/>
            <w:szCs w:val="16"/>
          </w:rPr>
          <w:t>articolo 11</w:t>
        </w:r>
      </w:hyperlink>
      <w:r w:rsidRPr="0032068D">
        <w:rPr>
          <w:rFonts w:ascii="Calibri" w:hAnsi="Calibri"/>
          <w:color w:val="000000"/>
          <w:sz w:val="16"/>
          <w:szCs w:val="16"/>
        </w:rPr>
        <w:t>, va presentata allo sportello unico corredata da un'attestazione concernente il titolo di legittimazione, dagli elaborati progettuali richiesti, e quando ne ricorrano i presupposti, dagli altri documenti previsti dalla parte II. La domanda è accompagnata da una dichiarazione del progettista abilitato che asseveri la conformità del progetto agli strumenti urbanistici approvati ed adottati, ai regolamenti edilizi vigenti, e alle altre normative di settore aventi incidenza sulla disciplina dell'attività edilizia e, in particolare, alle norme antisismiche, di sicurezza, antincendio, igienico-sanitarie alle norme relative all'efficienza energetica.</w:t>
      </w:r>
      <w:r w:rsidRPr="0032068D">
        <w:rPr>
          <w:rStyle w:val="apple-converted-space"/>
          <w:rFonts w:ascii="Calibri" w:hAnsi="Calibri"/>
          <w:color w:val="000000"/>
          <w:sz w:val="16"/>
          <w:szCs w:val="16"/>
        </w:rPr>
        <w:t> </w:t>
      </w:r>
      <w:r w:rsidRPr="0032068D">
        <w:rPr>
          <w:rFonts w:ascii="Calibri" w:hAnsi="Calibri"/>
          <w:color w:val="000000"/>
          <w:sz w:val="16"/>
          <w:szCs w:val="16"/>
        </w:rPr>
        <w:br/>
      </w:r>
      <w:r w:rsidRPr="0032068D">
        <w:rPr>
          <w:rFonts w:ascii="Calibri" w:hAnsi="Calibri"/>
          <w:i/>
          <w:iCs/>
          <w:color w:val="FF0000"/>
          <w:sz w:val="16"/>
          <w:szCs w:val="16"/>
        </w:rPr>
        <w:t>(comma modificato dall'</w:t>
      </w:r>
      <w:hyperlink r:id="rId50" w:anchor="03" w:history="1">
        <w:r w:rsidRPr="0032068D">
          <w:rPr>
            <w:rStyle w:val="Collegamentoipertestuale"/>
            <w:rFonts w:ascii="Calibri" w:hAnsi="Calibri"/>
            <w:i/>
            <w:iCs/>
            <w:sz w:val="16"/>
            <w:szCs w:val="16"/>
          </w:rPr>
          <w:t>art. 3 del d.lgs. n. 222 del 2016</w:t>
        </w:r>
      </w:hyperlink>
      <w:r w:rsidRPr="0032068D">
        <w:rPr>
          <w:rFonts w:ascii="Calibri" w:hAnsi="Calibri"/>
          <w:i/>
          <w:iCs/>
          <w:color w:val="FF0000"/>
          <w:sz w:val="16"/>
          <w:szCs w:val="16"/>
        </w:rPr>
        <w:t>)</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1-bis. Con decreto del Ministro della salute, da adottarsi, previa intesa in Conferenza unificata, entro 90 giorni dall'entrata in vigore della presente disposizione, sono definiti i requisiti igienico-sanitari di carattere prestazionale degli edifici.</w:t>
      </w:r>
      <w:r w:rsidRPr="0032068D">
        <w:rPr>
          <w:rFonts w:ascii="Calibri" w:hAnsi="Calibri"/>
          <w:color w:val="000000"/>
          <w:sz w:val="16"/>
          <w:szCs w:val="16"/>
        </w:rPr>
        <w:br/>
      </w:r>
      <w:r w:rsidRPr="0032068D">
        <w:rPr>
          <w:rStyle w:val="Enfasicorsivo"/>
          <w:rFonts w:ascii="Calibri" w:hAnsi="Calibri"/>
          <w:color w:val="FF0000"/>
          <w:sz w:val="16"/>
          <w:szCs w:val="16"/>
        </w:rPr>
        <w:t>(comma introdotto dall'</w:t>
      </w:r>
      <w:hyperlink r:id="rId51" w:anchor="03" w:history="1">
        <w:r w:rsidRPr="0032068D">
          <w:rPr>
            <w:rStyle w:val="Collegamentoipertestuale"/>
            <w:rFonts w:ascii="Calibri" w:hAnsi="Calibri"/>
            <w:i/>
            <w:iCs/>
            <w:sz w:val="16"/>
            <w:szCs w:val="16"/>
          </w:rPr>
          <w:t>art. 3 del d.lgs. n. 222 del 2016</w:t>
        </w:r>
      </w:hyperlink>
      <w:r w:rsidRPr="0032068D">
        <w:rPr>
          <w:rStyle w:val="Enfasicorsivo"/>
          <w:rFonts w:ascii="Calibri" w:hAnsi="Calibri"/>
          <w:color w:val="FF0000"/>
          <w:sz w:val="16"/>
          <w:szCs w:val="16"/>
        </w:rPr>
        <w:t>)</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2. Lo sportello unico comunica entro dieci giorni al richiedente il nominativo del responsabile del procedimento ai sensi degli</w:t>
      </w:r>
      <w:r w:rsidRPr="0032068D">
        <w:rPr>
          <w:rStyle w:val="apple-converted-space"/>
          <w:rFonts w:ascii="Calibri" w:hAnsi="Calibri"/>
          <w:color w:val="000000"/>
          <w:sz w:val="16"/>
          <w:szCs w:val="16"/>
        </w:rPr>
        <w:t> </w:t>
      </w:r>
      <w:hyperlink r:id="rId52" w:anchor="04" w:history="1">
        <w:r w:rsidRPr="0032068D">
          <w:rPr>
            <w:rStyle w:val="Collegamentoipertestuale"/>
            <w:rFonts w:ascii="Calibri" w:hAnsi="Calibri"/>
            <w:sz w:val="16"/>
            <w:szCs w:val="16"/>
          </w:rPr>
          <w:t>articoli 4 e 5 della legge 7 agosto 1990, n. 241</w:t>
        </w:r>
      </w:hyperlink>
      <w:r w:rsidRPr="0032068D">
        <w:rPr>
          <w:rFonts w:ascii="Calibri" w:hAnsi="Calibri"/>
          <w:color w:val="000000"/>
          <w:sz w:val="16"/>
          <w:szCs w:val="16"/>
        </w:rPr>
        <w:t>, e successive modificazioni. L'esame delle domande si svolge secondo l'ordine cronologico di presentazione.</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3. Entro sessanta giorni dalla presentazione della domanda, il responsabile del procedimento cura l'istruttoria, e formula una proposta di provvedimento, corredata da una dettagliata relazione, con la qualificazione tecnico-giuridica dell'intervento richiesto. Qualora sia necessario acquisire ulteriori atti di assenso, comunque denominati, resi da amministrazioni diverse, si procede ai sensi degli</w:t>
      </w:r>
      <w:r w:rsidRPr="0032068D">
        <w:rPr>
          <w:rStyle w:val="apple-converted-space"/>
          <w:rFonts w:ascii="Calibri" w:hAnsi="Calibri"/>
          <w:color w:val="000000"/>
          <w:sz w:val="16"/>
          <w:szCs w:val="16"/>
        </w:rPr>
        <w:t> </w:t>
      </w:r>
      <w:hyperlink r:id="rId53" w:anchor="14" w:history="1">
        <w:r w:rsidRPr="0032068D">
          <w:rPr>
            <w:rStyle w:val="Collegamentoipertestuale"/>
            <w:rFonts w:ascii="Calibri" w:hAnsi="Calibri"/>
            <w:sz w:val="16"/>
            <w:szCs w:val="16"/>
          </w:rPr>
          <w:t>articoli 14 e seguenti della legge 7 agosto 1990, n. 241</w:t>
        </w:r>
      </w:hyperlink>
      <w:r w:rsidRPr="0032068D">
        <w:rPr>
          <w:rFonts w:ascii="Calibri" w:hAnsi="Calibri"/>
          <w:color w:val="000000"/>
          <w:sz w:val="16"/>
          <w:szCs w:val="16"/>
        </w:rPr>
        <w:t>.</w:t>
      </w:r>
      <w:r w:rsidRPr="0032068D">
        <w:rPr>
          <w:rFonts w:ascii="Calibri" w:hAnsi="Calibri"/>
          <w:color w:val="000000"/>
          <w:sz w:val="16"/>
          <w:szCs w:val="16"/>
        </w:rPr>
        <w:br/>
      </w:r>
      <w:r w:rsidRPr="0032068D">
        <w:rPr>
          <w:rFonts w:ascii="Calibri" w:hAnsi="Calibri"/>
          <w:i/>
          <w:iCs/>
          <w:color w:val="FF0000"/>
          <w:sz w:val="16"/>
          <w:szCs w:val="16"/>
        </w:rPr>
        <w:t>(comma modificato dall'</w:t>
      </w:r>
      <w:hyperlink r:id="rId54" w:anchor="02" w:history="1">
        <w:r w:rsidRPr="0032068D">
          <w:rPr>
            <w:rStyle w:val="Collegamentoipertestuale"/>
            <w:rFonts w:ascii="Calibri" w:hAnsi="Calibri"/>
            <w:i/>
            <w:iCs/>
            <w:sz w:val="16"/>
            <w:szCs w:val="16"/>
          </w:rPr>
          <w:t>art. 2, comma 1, d.lgs. n. 127 del 2016</w:t>
        </w:r>
      </w:hyperlink>
      <w:r w:rsidRPr="0032068D">
        <w:rPr>
          <w:rFonts w:ascii="Calibri" w:hAnsi="Calibri"/>
          <w:i/>
          <w:iCs/>
          <w:color w:val="FF0000"/>
          <w:sz w:val="16"/>
          <w:szCs w:val="16"/>
        </w:rPr>
        <w:t>)</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4. Il responsabile del procedimento, qualora ritenga che ai fini del rilascio del permesso di costruire sia necessario apportare modifiche di modesta entità rispetto al progetto originario, può, nello stesso termine di cui al comma 3, richiedere tali modifiche, illustrandone le ragioni. L'interessato si pronuncia sulla richiesta di modifica entro il termine fissato e, in caso di adesione, è tenuto ad integrare la documentazione nei successivi quindici giorni. La richiesta di cui al presente comma sospende, fino al relativo esito, il decorso del termine di cui al comma 3.</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5. Il termine di cui al comma 3 può essere interrotto una sola volta dal responsabile del procedimento, entro trenta giorni dalla presentazione della domanda, esclusivamente per la motivata richiesta di documenti che integrino o completino la documentazione presentata e che non siano già nella disponibilità dell'amministrazione o che questa non possa acquisire autonomamente. In tal caso, il termine ricomincia a decorrere dalla data di ricezione della documentazione integrativa.</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5-bis.</w:t>
      </w:r>
      <w:r w:rsidRPr="0032068D">
        <w:rPr>
          <w:rStyle w:val="apple-converted-space"/>
          <w:rFonts w:ascii="Calibri" w:hAnsi="Calibri"/>
          <w:color w:val="000000"/>
          <w:sz w:val="16"/>
          <w:szCs w:val="16"/>
        </w:rPr>
        <w:t> </w:t>
      </w:r>
      <w:r w:rsidRPr="0032068D">
        <w:rPr>
          <w:rFonts w:ascii="Calibri" w:hAnsi="Calibri"/>
          <w:i/>
          <w:iCs/>
          <w:color w:val="FF0000"/>
          <w:sz w:val="16"/>
          <w:szCs w:val="16"/>
        </w:rPr>
        <w:t>(comma abrogato)</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6. Il provvedimento finale, che lo sportello unico provvede a notificare all’interessato, è adottato dal dirigente o dal responsabile dell’ufficio, entro il termine di trenta giorni dalla proposta di cui al comma 3. Qualora sia indetta la conferenza di servizi di cui al medesimo comma, la determinazione motivata di conclusione del procedimento, assunta nei termini di cui agli</w:t>
      </w:r>
      <w:r w:rsidRPr="0032068D">
        <w:rPr>
          <w:rStyle w:val="apple-converted-space"/>
          <w:rFonts w:ascii="Calibri" w:hAnsi="Calibri"/>
          <w:color w:val="000000"/>
          <w:sz w:val="16"/>
          <w:szCs w:val="16"/>
        </w:rPr>
        <w:t> </w:t>
      </w:r>
      <w:hyperlink r:id="rId55" w:anchor="14" w:history="1">
        <w:r w:rsidRPr="0032068D">
          <w:rPr>
            <w:rStyle w:val="Collegamentoipertestuale"/>
            <w:rFonts w:ascii="Calibri" w:hAnsi="Calibri"/>
            <w:sz w:val="16"/>
            <w:szCs w:val="16"/>
          </w:rPr>
          <w:t>articoli da 14 e seguenti della legge 7 agosto 1990, n. 241</w:t>
        </w:r>
      </w:hyperlink>
      <w:r w:rsidRPr="0032068D">
        <w:rPr>
          <w:rFonts w:ascii="Calibri" w:hAnsi="Calibri"/>
          <w:color w:val="000000"/>
          <w:sz w:val="16"/>
          <w:szCs w:val="16"/>
        </w:rPr>
        <w:t>, e successive modificazioni, è, ad ogni effetto, titolo per la realizzazione dell’intervento. Il termine di cui al primo periodo è fissato in quaranta giorni con la medesima decorrenza qualora il dirigente o il responsabile del procedimento abbia comunicato all’istante i motivi che ostano all’accoglimento della domanda, ai sensi dell’</w:t>
      </w:r>
      <w:hyperlink r:id="rId56" w:anchor="10.bis" w:history="1">
        <w:r w:rsidRPr="0032068D">
          <w:rPr>
            <w:rStyle w:val="Collegamentoipertestuale"/>
            <w:rFonts w:ascii="Calibri" w:hAnsi="Calibri"/>
            <w:sz w:val="16"/>
            <w:szCs w:val="16"/>
          </w:rPr>
          <w:t>articolo 10-bis della citata legge n. 241 del 1990</w:t>
        </w:r>
      </w:hyperlink>
      <w:r w:rsidRPr="0032068D">
        <w:rPr>
          <w:rFonts w:ascii="Calibri" w:hAnsi="Calibri"/>
          <w:color w:val="000000"/>
          <w:sz w:val="16"/>
          <w:szCs w:val="16"/>
        </w:rPr>
        <w:t>, e successive modificazioni. Dell’avvenuto rilascio del permesso di costruire è data notizia al pubblico mediante affissione all’albo pretorio. Gli estremi del permesso di costruire sono indicati nel cartello esposto presso il cantiere, secondo le modalità stabilite dal regolamento edilizio.</w:t>
      </w:r>
      <w:r w:rsidRPr="0032068D">
        <w:rPr>
          <w:rFonts w:ascii="Calibri" w:hAnsi="Calibri"/>
          <w:color w:val="000000"/>
          <w:sz w:val="16"/>
          <w:szCs w:val="16"/>
        </w:rPr>
        <w:br/>
      </w:r>
      <w:r w:rsidRPr="0032068D">
        <w:rPr>
          <w:rFonts w:ascii="Calibri" w:hAnsi="Calibri"/>
          <w:i/>
          <w:iCs/>
          <w:color w:val="FF0000"/>
          <w:sz w:val="16"/>
          <w:szCs w:val="16"/>
        </w:rPr>
        <w:t>(comma così modificato dall'</w:t>
      </w:r>
      <w:hyperlink r:id="rId57" w:anchor="02" w:history="1">
        <w:r w:rsidRPr="0032068D">
          <w:rPr>
            <w:rStyle w:val="Collegamentoipertestuale"/>
            <w:rFonts w:ascii="Calibri" w:hAnsi="Calibri"/>
            <w:i/>
            <w:iCs/>
            <w:sz w:val="16"/>
            <w:szCs w:val="16"/>
          </w:rPr>
          <w:t>art. 2, comma 1, d.lgs. n. 127 del 2016</w:t>
        </w:r>
      </w:hyperlink>
      <w:r w:rsidRPr="0032068D">
        <w:rPr>
          <w:rFonts w:ascii="Calibri" w:hAnsi="Calibri"/>
          <w:i/>
          <w:iCs/>
          <w:color w:val="FF0000"/>
          <w:sz w:val="16"/>
          <w:szCs w:val="16"/>
        </w:rPr>
        <w:t>)</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7. I termini di cui ai commi 3 e 5 sono raddoppiati nei soli casi di progetti particolarmente complessi secondo la motivata risoluzione del responsabile del procedimento.</w:t>
      </w:r>
      <w:r w:rsidRPr="0032068D">
        <w:rPr>
          <w:rFonts w:ascii="Calibri" w:hAnsi="Calibri"/>
          <w:b/>
          <w:bCs/>
          <w:color w:val="000000"/>
          <w:sz w:val="16"/>
          <w:szCs w:val="16"/>
        </w:rPr>
        <w:br/>
      </w:r>
      <w:r w:rsidRPr="0032068D">
        <w:rPr>
          <w:rFonts w:ascii="Calibri" w:hAnsi="Calibri"/>
          <w:i/>
          <w:iCs/>
          <w:color w:val="FF0000"/>
          <w:sz w:val="16"/>
          <w:szCs w:val="16"/>
        </w:rPr>
        <w:t>(comma così sostituito dall'</w:t>
      </w:r>
      <w:hyperlink r:id="rId58" w:anchor="17" w:history="1">
        <w:r w:rsidRPr="0032068D">
          <w:rPr>
            <w:rStyle w:val="Collegamentoipertestuale"/>
            <w:rFonts w:ascii="Calibri" w:hAnsi="Calibri"/>
            <w:i/>
            <w:iCs/>
            <w:sz w:val="16"/>
            <w:szCs w:val="16"/>
          </w:rPr>
          <w:t>art. 17, comma 1, lettera h), legge n. 164 del 2014</w:t>
        </w:r>
      </w:hyperlink>
      <w:r w:rsidRPr="0032068D">
        <w:rPr>
          <w:rFonts w:ascii="Calibri" w:hAnsi="Calibri"/>
          <w:i/>
          <w:iCs/>
          <w:color w:val="FF0000"/>
          <w:sz w:val="16"/>
          <w:szCs w:val="16"/>
        </w:rPr>
        <w:t>)</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8. (L) Decorso inutilmente il termine per l’adozione del provvedimento conclusivo, ove il dirigente o il responsabile dell’ufficio non abbia opposto motivato diniego, sulla domanda di permesso di costruire si intende formato il silenzio-assenso, fatti salvi i casi in cui sussistano vincoli relativi all’assetto idrogeologico, ambientali, paesaggistici o culturali, per i quali si applicano le disposizioni di cui agli</w:t>
      </w:r>
      <w:r w:rsidRPr="0032068D">
        <w:rPr>
          <w:rStyle w:val="apple-converted-space"/>
          <w:rFonts w:ascii="Calibri" w:hAnsi="Calibri"/>
          <w:color w:val="000000"/>
          <w:sz w:val="16"/>
          <w:szCs w:val="16"/>
        </w:rPr>
        <w:t> </w:t>
      </w:r>
      <w:hyperlink r:id="rId59" w:anchor="14" w:history="1">
        <w:r w:rsidRPr="0032068D">
          <w:rPr>
            <w:rStyle w:val="Collegamentoipertestuale"/>
            <w:rFonts w:ascii="Calibri" w:hAnsi="Calibri"/>
            <w:sz w:val="16"/>
            <w:szCs w:val="16"/>
          </w:rPr>
          <w:t>articoli da 14 e seguenti della legge 7 agosto 1990, n. 241</w:t>
        </w:r>
      </w:hyperlink>
      <w:r w:rsidRPr="0032068D">
        <w:rPr>
          <w:rFonts w:ascii="Calibri" w:hAnsi="Calibri"/>
          <w:color w:val="000000"/>
          <w:sz w:val="16"/>
          <w:szCs w:val="16"/>
        </w:rPr>
        <w:t>.</w:t>
      </w:r>
      <w:r w:rsidRPr="0032068D">
        <w:rPr>
          <w:rStyle w:val="apple-converted-space"/>
          <w:rFonts w:ascii="Calibri" w:hAnsi="Calibri"/>
          <w:color w:val="000000"/>
          <w:sz w:val="16"/>
          <w:szCs w:val="16"/>
        </w:rPr>
        <w:t> </w:t>
      </w:r>
      <w:r w:rsidRPr="0032068D">
        <w:rPr>
          <w:rFonts w:ascii="Calibri" w:hAnsi="Calibri"/>
          <w:b/>
          <w:bCs/>
          <w:color w:val="000000"/>
          <w:sz w:val="16"/>
          <w:szCs w:val="16"/>
        </w:rPr>
        <w:t>Fermi restando gli effetti comunque prodotti dal silenzio, lo sportello unico per l’edilizia rilascia anche in via telematica, entro quindici giorni dalla richiesta dell’interessato, un’attestazione circa il decorso dei termini del procedimento, in assenza di richieste di integrazione documentale o istruttorie inevase e di provvedimenti di diniego; altrimenti, nello stesso termine, comunica all’interessato che tali atti sono intervenuti.</w:t>
      </w:r>
      <w:r w:rsidRPr="0032068D">
        <w:rPr>
          <w:rFonts w:ascii="Calibri" w:hAnsi="Calibri"/>
          <w:color w:val="000000"/>
          <w:sz w:val="16"/>
          <w:szCs w:val="16"/>
        </w:rPr>
        <w:br/>
      </w:r>
      <w:r w:rsidRPr="0032068D">
        <w:rPr>
          <w:rFonts w:ascii="Calibri" w:hAnsi="Calibri"/>
          <w:i/>
          <w:iCs/>
          <w:color w:val="FF0000"/>
          <w:sz w:val="16"/>
          <w:szCs w:val="16"/>
        </w:rPr>
        <w:t>(comma modificato dall'</w:t>
      </w:r>
      <w:hyperlink r:id="rId60" w:anchor="02" w:history="1">
        <w:r w:rsidRPr="0032068D">
          <w:rPr>
            <w:rStyle w:val="Collegamentoipertestuale"/>
            <w:rFonts w:ascii="Calibri" w:hAnsi="Calibri"/>
            <w:i/>
            <w:iCs/>
            <w:sz w:val="16"/>
            <w:szCs w:val="16"/>
          </w:rPr>
          <w:t>art. 2, comma 1, d.lgs. n. 127 del 2016</w:t>
        </w:r>
      </w:hyperlink>
      <w:r w:rsidRPr="0032068D">
        <w:rPr>
          <w:rFonts w:ascii="Calibri" w:hAnsi="Calibri"/>
          <w:i/>
          <w:iCs/>
          <w:color w:val="FF0000"/>
          <w:sz w:val="16"/>
          <w:szCs w:val="16"/>
        </w:rPr>
        <w:t>, poi dall'</w:t>
      </w:r>
      <w:hyperlink r:id="rId61" w:anchor="10" w:history="1">
        <w:r w:rsidRPr="0032068D">
          <w:rPr>
            <w:rStyle w:val="Collegamentoipertestuale"/>
            <w:rFonts w:ascii="Calibri" w:hAnsi="Calibri"/>
            <w:i/>
            <w:iCs/>
            <w:sz w:val="16"/>
            <w:szCs w:val="16"/>
          </w:rPr>
          <w:t>art. 10, comma 1, lettera i), del decreto-legge n. 76 del 2020</w:t>
        </w:r>
      </w:hyperlink>
      <w:r w:rsidRPr="0032068D">
        <w:rPr>
          <w:rFonts w:ascii="Calibri" w:hAnsi="Calibri"/>
          <w:i/>
          <w:iCs/>
          <w:color w:val="FF0000"/>
          <w:sz w:val="16"/>
          <w:szCs w:val="16"/>
        </w:rPr>
        <w:t>)</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9.</w:t>
      </w:r>
      <w:r w:rsidRPr="0032068D">
        <w:rPr>
          <w:rStyle w:val="apple-converted-space"/>
          <w:rFonts w:ascii="Calibri" w:hAnsi="Calibri"/>
          <w:color w:val="000000"/>
          <w:sz w:val="16"/>
          <w:szCs w:val="16"/>
        </w:rPr>
        <w:t> </w:t>
      </w:r>
      <w:r w:rsidRPr="0032068D">
        <w:rPr>
          <w:rFonts w:ascii="Calibri" w:hAnsi="Calibri"/>
          <w:i/>
          <w:iCs/>
          <w:color w:val="FF0000"/>
          <w:sz w:val="16"/>
          <w:szCs w:val="16"/>
        </w:rPr>
        <w:t>(comma abrogato)</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10.</w:t>
      </w:r>
      <w:r w:rsidRPr="0032068D">
        <w:rPr>
          <w:rStyle w:val="apple-converted-space"/>
          <w:rFonts w:ascii="Calibri" w:hAnsi="Calibri"/>
          <w:color w:val="000000"/>
          <w:sz w:val="16"/>
          <w:szCs w:val="16"/>
        </w:rPr>
        <w:t> </w:t>
      </w:r>
      <w:r w:rsidRPr="0032068D">
        <w:rPr>
          <w:rFonts w:ascii="Calibri" w:hAnsi="Calibri"/>
          <w:i/>
          <w:iCs/>
          <w:color w:val="FF0000"/>
          <w:sz w:val="16"/>
          <w:szCs w:val="16"/>
        </w:rPr>
        <w:t>(comma abrogato)</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11. Il termine per il rilascio del permesso di costruire per gli interventi di cui all'</w:t>
      </w:r>
      <w:hyperlink r:id="rId62" w:anchor="022" w:history="1">
        <w:r w:rsidRPr="0032068D">
          <w:rPr>
            <w:rStyle w:val="Collegamentoipertestuale"/>
            <w:rFonts w:ascii="Calibri" w:hAnsi="Calibri"/>
            <w:sz w:val="16"/>
            <w:szCs w:val="16"/>
          </w:rPr>
          <w:t>articolo 22, comma 7</w:t>
        </w:r>
      </w:hyperlink>
      <w:r w:rsidRPr="0032068D">
        <w:rPr>
          <w:rFonts w:ascii="Calibri" w:hAnsi="Calibri"/>
          <w:color w:val="000000"/>
          <w:sz w:val="16"/>
          <w:szCs w:val="16"/>
        </w:rPr>
        <w:t>, è di settantacinque giorni dalla data di presentazione della domanda.</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12. Fermo restando quanto previsto dalla vigente normativa in relazione agli adempimenti di competenza delle amministrazioni statali coinvolte, sono fatte salve le disposizioni contenute nelle leggi regionali che prevedano misure di ulteriore semplificazione e ulteriori riduzioni di termini procedimentali.</w:t>
      </w:r>
    </w:p>
    <w:p w:rsidR="0060283D" w:rsidRPr="0032068D" w:rsidRDefault="0060283D" w:rsidP="0032068D">
      <w:pPr>
        <w:pStyle w:val="NormaleWeb"/>
        <w:shd w:val="clear" w:color="auto" w:fill="F5FDFE"/>
        <w:rPr>
          <w:rFonts w:ascii="-webkit-standard" w:hAnsi="-webkit-standard"/>
          <w:color w:val="000000"/>
          <w:sz w:val="16"/>
          <w:szCs w:val="16"/>
        </w:rPr>
      </w:pPr>
      <w:r w:rsidRPr="0032068D">
        <w:rPr>
          <w:rFonts w:ascii="Calibri" w:hAnsi="Calibri"/>
          <w:color w:val="000000"/>
          <w:sz w:val="16"/>
          <w:szCs w:val="16"/>
        </w:rPr>
        <w:t>13. Ove il fatto non costituisca più grave reato, chiunque, nelle dichiarazioni o attestazioni o asseverazioni di cui al comma 1, dichiara o attesta falsamente l'esistenza dei requisiti o dei presupposti di cui al medesimo comma è punito con la reclusione da uno a tre anni. In tali casi, il responsabile del procedimento informa il competente ordine professionale per l'irrogazione delle sanzioni disciplinari.</w:t>
      </w:r>
    </w:p>
    <w:p w:rsidR="0060283D" w:rsidRDefault="0060283D">
      <w:pPr>
        <w:pStyle w:val="Testonotaapidipagina"/>
      </w:pPr>
    </w:p>
  </w:footnote>
  <w:footnote w:id="10">
    <w:p w:rsidR="0060283D" w:rsidRPr="00EE2DE6" w:rsidRDefault="0060283D" w:rsidP="00EE2DE6">
      <w:pPr>
        <w:pStyle w:val="NormaleWeb"/>
        <w:shd w:val="clear" w:color="auto" w:fill="F5FDFE"/>
        <w:rPr>
          <w:rFonts w:ascii="-webkit-standard" w:hAnsi="-webkit-standard"/>
          <w:color w:val="000000"/>
          <w:sz w:val="16"/>
          <w:szCs w:val="16"/>
        </w:rPr>
      </w:pPr>
      <w:r>
        <w:rPr>
          <w:rStyle w:val="Rimandonotaapidipagina"/>
        </w:rPr>
        <w:footnoteRef/>
      </w:r>
      <w:bookmarkStart w:id="9" w:name="022"/>
      <w:r w:rsidRPr="00EE2DE6">
        <w:rPr>
          <w:rFonts w:ascii="Calibri" w:hAnsi="Calibri"/>
          <w:b/>
          <w:bCs/>
          <w:color w:val="000000"/>
          <w:sz w:val="16"/>
          <w:szCs w:val="16"/>
        </w:rPr>
        <w:t>Art. 22 (L) - Interventi subordinati a </w:t>
      </w:r>
      <w:bookmarkEnd w:id="9"/>
      <w:r w:rsidRPr="00EE2DE6">
        <w:rPr>
          <w:rFonts w:ascii="Calibri" w:hAnsi="Calibri"/>
          <w:b/>
          <w:bCs/>
          <w:color w:val="000000"/>
          <w:sz w:val="16"/>
          <w:szCs w:val="16"/>
        </w:rPr>
        <w:t>segnalazione certificata di inizio attività</w:t>
      </w:r>
    </w:p>
    <w:p w:rsidR="0060283D" w:rsidRPr="00EE2DE6" w:rsidRDefault="0060283D" w:rsidP="00EE2DE6">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EE2DE6">
        <w:rPr>
          <w:rFonts w:ascii="Calibri" w:eastAsia="Times New Roman" w:hAnsi="Calibri" w:cs="Times New Roman"/>
          <w:color w:val="000000"/>
          <w:sz w:val="16"/>
          <w:szCs w:val="16"/>
          <w:lang w:eastAsia="it-IT"/>
        </w:rPr>
        <w:t>1. Sono realizzabili mediante la segnalazione certificata di inizio di attività di cui all'</w:t>
      </w:r>
      <w:hyperlink r:id="rId63" w:anchor="19" w:history="1">
        <w:r w:rsidRPr="00EE2DE6">
          <w:rPr>
            <w:rFonts w:ascii="Calibri" w:eastAsia="Times New Roman" w:hAnsi="Calibri" w:cs="Times New Roman"/>
            <w:color w:val="0000FF"/>
            <w:sz w:val="16"/>
            <w:szCs w:val="16"/>
            <w:u w:val="single"/>
            <w:lang w:eastAsia="it-IT"/>
          </w:rPr>
          <w:t>articolo 19 della legge 7 agosto 1990, n. 241</w:t>
        </w:r>
      </w:hyperlink>
      <w:r w:rsidRPr="00EE2DE6">
        <w:rPr>
          <w:rFonts w:ascii="Calibri" w:eastAsia="Times New Roman" w:hAnsi="Calibri" w:cs="Times New Roman"/>
          <w:color w:val="000000"/>
          <w:sz w:val="16"/>
          <w:szCs w:val="16"/>
          <w:lang w:eastAsia="it-IT"/>
        </w:rPr>
        <w:t>, nonché in conformità alle previsioni degli strumenti urbanistici, dei regolamenti edilizi e della disciplina urbanistico-edilizia vigente: </w:t>
      </w:r>
      <w:r w:rsidRPr="00EE2DE6">
        <w:rPr>
          <w:rFonts w:ascii="Calibri" w:eastAsia="Times New Roman" w:hAnsi="Calibri" w:cs="Times New Roman"/>
          <w:color w:val="000000"/>
          <w:sz w:val="16"/>
          <w:szCs w:val="16"/>
          <w:lang w:eastAsia="it-IT"/>
        </w:rPr>
        <w:br/>
      </w:r>
      <w:r w:rsidRPr="00EE2DE6">
        <w:rPr>
          <w:rFonts w:ascii="Calibri" w:eastAsia="Times New Roman" w:hAnsi="Calibri" w:cs="Times New Roman"/>
          <w:i/>
          <w:iCs/>
          <w:color w:val="FF0000"/>
          <w:sz w:val="16"/>
          <w:szCs w:val="16"/>
          <w:lang w:eastAsia="it-IT"/>
        </w:rPr>
        <w:t>(comma così sostituito dall'</w:t>
      </w:r>
      <w:hyperlink r:id="rId64" w:anchor="03" w:history="1">
        <w:r w:rsidRPr="00EE2DE6">
          <w:rPr>
            <w:rFonts w:ascii="Calibri" w:eastAsia="Times New Roman" w:hAnsi="Calibri" w:cs="Times New Roman"/>
            <w:i/>
            <w:iCs/>
            <w:color w:val="0000FF"/>
            <w:sz w:val="16"/>
            <w:szCs w:val="16"/>
            <w:u w:val="single"/>
            <w:lang w:eastAsia="it-IT"/>
          </w:rPr>
          <w:t>art. 3 del d.lgs. n. 222 del 2016</w:t>
        </w:r>
      </w:hyperlink>
      <w:r w:rsidRPr="00EE2DE6">
        <w:rPr>
          <w:rFonts w:ascii="Calibri" w:eastAsia="Times New Roman" w:hAnsi="Calibri" w:cs="Times New Roman"/>
          <w:i/>
          <w:iCs/>
          <w:color w:val="FF0000"/>
          <w:sz w:val="16"/>
          <w:szCs w:val="16"/>
          <w:lang w:eastAsia="it-IT"/>
        </w:rPr>
        <w:t>)</w:t>
      </w:r>
    </w:p>
    <w:p w:rsidR="0060283D" w:rsidRPr="00EE2DE6" w:rsidRDefault="0060283D" w:rsidP="00EE2DE6">
      <w:pPr>
        <w:shd w:val="clear" w:color="auto" w:fill="F5FDFE"/>
        <w:spacing w:beforeAutospacing="1" w:afterAutospacing="1"/>
        <w:rPr>
          <w:rFonts w:ascii="-webkit-standard" w:eastAsia="Times New Roman" w:hAnsi="-webkit-standard" w:cs="Times New Roman"/>
          <w:color w:val="000000"/>
          <w:sz w:val="16"/>
          <w:szCs w:val="16"/>
          <w:lang w:eastAsia="it-IT"/>
        </w:rPr>
      </w:pPr>
      <w:r w:rsidRPr="00EE2DE6">
        <w:rPr>
          <w:rFonts w:ascii="Calibri" w:eastAsia="Times New Roman" w:hAnsi="Calibri" w:cs="Times New Roman"/>
          <w:color w:val="000000"/>
          <w:sz w:val="16"/>
          <w:szCs w:val="16"/>
          <w:lang w:eastAsia="it-IT"/>
        </w:rPr>
        <w:t>a) gli interventi di manutenzione straordinaria di cui all'</w:t>
      </w:r>
      <w:hyperlink r:id="rId65" w:anchor="003" w:history="1">
        <w:r w:rsidRPr="00EE2DE6">
          <w:rPr>
            <w:rFonts w:ascii="Calibri" w:eastAsia="Times New Roman" w:hAnsi="Calibri" w:cs="Times New Roman"/>
            <w:color w:val="0000FF"/>
            <w:sz w:val="16"/>
            <w:szCs w:val="16"/>
            <w:u w:val="single"/>
            <w:lang w:eastAsia="it-IT"/>
          </w:rPr>
          <w:t>articolo 3, comma 1, lettera b)</w:t>
        </w:r>
      </w:hyperlink>
      <w:r w:rsidRPr="00EE2DE6">
        <w:rPr>
          <w:rFonts w:ascii="Calibri" w:eastAsia="Times New Roman" w:hAnsi="Calibri" w:cs="Times New Roman"/>
          <w:color w:val="000000"/>
          <w:sz w:val="16"/>
          <w:szCs w:val="16"/>
          <w:lang w:eastAsia="it-IT"/>
        </w:rPr>
        <w:t>, qualora riguardino le parti strutturali dell'edificio </w:t>
      </w:r>
      <w:r w:rsidRPr="00EE2DE6">
        <w:rPr>
          <w:rFonts w:ascii="Calibri" w:eastAsia="Times New Roman" w:hAnsi="Calibri" w:cs="Times New Roman"/>
          <w:b/>
          <w:bCs/>
          <w:color w:val="000000"/>
          <w:sz w:val="16"/>
          <w:szCs w:val="16"/>
          <w:lang w:eastAsia="it-IT"/>
        </w:rPr>
        <w:t>o i prospetti</w:t>
      </w:r>
      <w:r w:rsidRPr="00EE2DE6">
        <w:rPr>
          <w:rFonts w:ascii="Calibri" w:eastAsia="Times New Roman" w:hAnsi="Calibri" w:cs="Times New Roman"/>
          <w:color w:val="000000"/>
          <w:sz w:val="16"/>
          <w:szCs w:val="16"/>
          <w:lang w:eastAsia="it-IT"/>
        </w:rPr>
        <w:t>; </w:t>
      </w:r>
      <w:r w:rsidRPr="00EE2DE6">
        <w:rPr>
          <w:rFonts w:ascii="Calibri" w:eastAsia="Times New Roman" w:hAnsi="Calibri" w:cs="Times New Roman"/>
          <w:color w:val="000000"/>
          <w:sz w:val="16"/>
          <w:szCs w:val="16"/>
          <w:lang w:eastAsia="it-IT"/>
        </w:rPr>
        <w:br/>
      </w:r>
      <w:r w:rsidRPr="00EE2DE6">
        <w:rPr>
          <w:rFonts w:ascii="Calibri" w:eastAsia="Times New Roman" w:hAnsi="Calibri" w:cs="Times New Roman"/>
          <w:i/>
          <w:iCs/>
          <w:color w:val="FF0000"/>
          <w:sz w:val="16"/>
          <w:szCs w:val="16"/>
          <w:lang w:eastAsia="it-IT"/>
        </w:rPr>
        <w:t>(lettera così modificata dall'</w:t>
      </w:r>
      <w:hyperlink r:id="rId66" w:anchor="10" w:history="1">
        <w:r w:rsidRPr="00EE2DE6">
          <w:rPr>
            <w:rFonts w:ascii="Calibri" w:eastAsia="Times New Roman" w:hAnsi="Calibri" w:cs="Times New Roman"/>
            <w:i/>
            <w:iCs/>
            <w:color w:val="0000FF"/>
            <w:sz w:val="16"/>
            <w:szCs w:val="16"/>
            <w:u w:val="single"/>
            <w:lang w:eastAsia="it-IT"/>
          </w:rPr>
          <w:t>art. 10, comma 1, lettera l), del decreto-legge n. 76 del 2020</w:t>
        </w:r>
      </w:hyperlink>
      <w:r w:rsidRPr="00EE2DE6">
        <w:rPr>
          <w:rFonts w:ascii="Calibri" w:eastAsia="Times New Roman" w:hAnsi="Calibri" w:cs="Times New Roman"/>
          <w:i/>
          <w:iCs/>
          <w:color w:val="FF0000"/>
          <w:sz w:val="16"/>
          <w:szCs w:val="16"/>
          <w:lang w:eastAsia="it-IT"/>
        </w:rPr>
        <w:t>)</w:t>
      </w:r>
      <w:r w:rsidRPr="00EE2DE6">
        <w:rPr>
          <w:rFonts w:ascii="Calibri" w:eastAsia="Times New Roman" w:hAnsi="Calibri" w:cs="Times New Roman"/>
          <w:color w:val="000000"/>
          <w:sz w:val="16"/>
          <w:szCs w:val="16"/>
          <w:lang w:eastAsia="it-IT"/>
        </w:rPr>
        <w:br/>
        <w:t>b) gli interventi di restauro e di risanamento conservativo di cui all'articolo 3, comma 1, lettera c), qualora riguardino le parti strutturali dell'edificio; </w:t>
      </w:r>
      <w:r w:rsidRPr="00EE2DE6">
        <w:rPr>
          <w:rFonts w:ascii="Calibri" w:eastAsia="Times New Roman" w:hAnsi="Calibri" w:cs="Times New Roman"/>
          <w:color w:val="000000"/>
          <w:sz w:val="16"/>
          <w:szCs w:val="16"/>
          <w:lang w:eastAsia="it-IT"/>
        </w:rPr>
        <w:br/>
        <w:t>c) gli interventi di ristrutturazione edilizia di cui all'articolo 3, comma 1, lettera d), diversi da quelli indicati nell'</w:t>
      </w:r>
      <w:hyperlink r:id="rId67" w:anchor="010" w:history="1">
        <w:r w:rsidRPr="00EE2DE6">
          <w:rPr>
            <w:rFonts w:ascii="Calibri" w:eastAsia="Times New Roman" w:hAnsi="Calibri" w:cs="Times New Roman"/>
            <w:color w:val="0000FF"/>
            <w:sz w:val="16"/>
            <w:szCs w:val="16"/>
            <w:u w:val="single"/>
            <w:lang w:eastAsia="it-IT"/>
          </w:rPr>
          <w:t>articolo 10, comma 1, lettera c)</w:t>
        </w:r>
      </w:hyperlink>
      <w:r w:rsidRPr="00EE2DE6">
        <w:rPr>
          <w:rFonts w:ascii="Calibri" w:eastAsia="Times New Roman" w:hAnsi="Calibri" w:cs="Times New Roman"/>
          <w:color w:val="000000"/>
          <w:sz w:val="16"/>
          <w:szCs w:val="16"/>
          <w:lang w:eastAsia="it-IT"/>
        </w:rPr>
        <w:t>.</w:t>
      </w:r>
    </w:p>
    <w:p w:rsidR="0060283D" w:rsidRDefault="0060283D">
      <w:pPr>
        <w:pStyle w:val="Testonotaapidipagina"/>
      </w:pPr>
    </w:p>
  </w:footnote>
  <w:footnote w:id="11">
    <w:p w:rsidR="0060283D" w:rsidRPr="00C653AE" w:rsidRDefault="0060283D" w:rsidP="00C653AE">
      <w:pPr>
        <w:pStyle w:val="NormaleWeb"/>
        <w:shd w:val="clear" w:color="auto" w:fill="F5FDFE"/>
        <w:rPr>
          <w:rFonts w:ascii="-webkit-standard" w:hAnsi="-webkit-standard"/>
          <w:color w:val="000000"/>
          <w:sz w:val="16"/>
          <w:szCs w:val="16"/>
        </w:rPr>
      </w:pPr>
      <w:r>
        <w:rPr>
          <w:rStyle w:val="Rimandonotaapidipagina"/>
        </w:rPr>
        <w:footnoteRef/>
      </w:r>
      <w:r w:rsidRPr="00C653AE">
        <w:rPr>
          <w:rFonts w:ascii="Calibri" w:hAnsi="Calibri"/>
          <w:b/>
          <w:bCs/>
          <w:color w:val="000000"/>
          <w:sz w:val="16"/>
          <w:szCs w:val="16"/>
        </w:rPr>
        <w:t>Art.</w:t>
      </w:r>
      <w:bookmarkStart w:id="10" w:name="023-ter"/>
      <w:r w:rsidRPr="00C653AE">
        <w:rPr>
          <w:rFonts w:ascii="Calibri" w:hAnsi="Calibri"/>
          <w:b/>
          <w:bCs/>
          <w:color w:val="000000"/>
          <w:sz w:val="16"/>
          <w:szCs w:val="16"/>
        </w:rPr>
        <w:t> 23-ter</w:t>
      </w:r>
      <w:bookmarkEnd w:id="10"/>
      <w:r w:rsidRPr="00C653AE">
        <w:rPr>
          <w:rFonts w:ascii="Calibri" w:hAnsi="Calibri"/>
          <w:b/>
          <w:bCs/>
          <w:color w:val="000000"/>
          <w:sz w:val="16"/>
          <w:szCs w:val="16"/>
        </w:rPr>
        <w:t>. Mutamento d'uso urbanisticamente rilevante</w:t>
      </w:r>
      <w:r w:rsidRPr="00C653AE">
        <w:rPr>
          <w:rFonts w:ascii="Calibri" w:hAnsi="Calibri"/>
          <w:color w:val="000000"/>
          <w:sz w:val="16"/>
          <w:szCs w:val="16"/>
        </w:rPr>
        <w:br/>
      </w:r>
      <w:r w:rsidRPr="00C653AE">
        <w:rPr>
          <w:rFonts w:ascii="Calibri" w:hAnsi="Calibri"/>
          <w:i/>
          <w:iCs/>
          <w:color w:val="FF0000"/>
          <w:sz w:val="16"/>
          <w:szCs w:val="16"/>
        </w:rPr>
        <w:t>(articolo introdotto dall'</w:t>
      </w:r>
      <w:hyperlink r:id="rId68" w:anchor="17" w:history="1">
        <w:r w:rsidRPr="00C653AE">
          <w:rPr>
            <w:rFonts w:ascii="Calibri" w:hAnsi="Calibri"/>
            <w:i/>
            <w:iCs/>
            <w:color w:val="0000FF"/>
            <w:sz w:val="16"/>
            <w:szCs w:val="16"/>
            <w:u w:val="single"/>
          </w:rPr>
          <w:t>art. 17, comma 1, lettera n), legge n. 164 del 2014</w:t>
        </w:r>
      </w:hyperlink>
      <w:r w:rsidRPr="00C653AE">
        <w:rPr>
          <w:rFonts w:ascii="Calibri" w:hAnsi="Calibri"/>
          <w:i/>
          <w:iCs/>
          <w:color w:val="FF0000"/>
          <w:sz w:val="16"/>
          <w:szCs w:val="16"/>
        </w:rPr>
        <w:t>)</w:t>
      </w:r>
      <w:r w:rsidRPr="00C653AE">
        <w:rPr>
          <w:rFonts w:ascii="Calibri" w:hAnsi="Calibri"/>
          <w:i/>
          <w:iCs/>
          <w:color w:val="FF0000"/>
          <w:sz w:val="16"/>
          <w:szCs w:val="16"/>
        </w:rPr>
        <w:br/>
        <w:t>(il presente articolo non trova applicazione nelle regioni che hanno adottato una propria disciplina specifica)</w:t>
      </w:r>
    </w:p>
    <w:p w:rsidR="0060283D" w:rsidRPr="00C653AE" w:rsidRDefault="0060283D" w:rsidP="00C653AE">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C653AE">
        <w:rPr>
          <w:rFonts w:ascii="Calibri" w:eastAsia="Times New Roman" w:hAnsi="Calibri" w:cs="Times New Roman"/>
          <w:color w:val="000000"/>
          <w:sz w:val="16"/>
          <w:szCs w:val="16"/>
          <w:lang w:eastAsia="it-IT"/>
        </w:rPr>
        <w:t>1. Salva diversa previsione da parte delle leggi regionali, costituisce mutamento rilevante della destinazione d'uso ogni forma di utilizzo dell'immobile o della singola unità immobiliare diversa da quella originaria, ancorché non accompagnata dall'esecuzione di opere edilizie, purché tale da comportare l'assegnazione dell'immobile o dell'unità immobiliare considerati ad una diversa categoria funzionale tra quelle sotto elencate: </w:t>
      </w:r>
    </w:p>
    <w:p w:rsidR="0060283D" w:rsidRPr="00C653AE" w:rsidRDefault="0060283D" w:rsidP="00C653AE">
      <w:pPr>
        <w:shd w:val="clear" w:color="auto" w:fill="F5FDFE"/>
        <w:spacing w:beforeAutospacing="1" w:afterAutospacing="1"/>
        <w:rPr>
          <w:rFonts w:ascii="-webkit-standard" w:eastAsia="Times New Roman" w:hAnsi="-webkit-standard" w:cs="Times New Roman"/>
          <w:color w:val="000000"/>
          <w:sz w:val="16"/>
          <w:szCs w:val="16"/>
          <w:lang w:eastAsia="it-IT"/>
        </w:rPr>
      </w:pPr>
      <w:r w:rsidRPr="00C653AE">
        <w:rPr>
          <w:rFonts w:ascii="Calibri" w:eastAsia="Times New Roman" w:hAnsi="Calibri" w:cs="Times New Roman"/>
          <w:color w:val="000000"/>
          <w:sz w:val="16"/>
          <w:szCs w:val="16"/>
          <w:lang w:eastAsia="it-IT"/>
        </w:rPr>
        <w:t>a) residenziale;</w:t>
      </w:r>
      <w:r w:rsidRPr="00C653AE">
        <w:rPr>
          <w:rFonts w:ascii="Calibri" w:eastAsia="Times New Roman" w:hAnsi="Calibri" w:cs="Times New Roman"/>
          <w:color w:val="000000"/>
          <w:sz w:val="16"/>
          <w:szCs w:val="16"/>
          <w:lang w:eastAsia="it-IT"/>
        </w:rPr>
        <w:br/>
        <w:t>a-bis) turistico-ricettiva; </w:t>
      </w:r>
      <w:r w:rsidRPr="00C653AE">
        <w:rPr>
          <w:rFonts w:ascii="Calibri" w:eastAsia="Times New Roman" w:hAnsi="Calibri" w:cs="Times New Roman"/>
          <w:color w:val="000000"/>
          <w:sz w:val="16"/>
          <w:szCs w:val="16"/>
          <w:lang w:eastAsia="it-IT"/>
        </w:rPr>
        <w:br/>
        <w:t>b) produttiva e direzionale; </w:t>
      </w:r>
      <w:r w:rsidRPr="00C653AE">
        <w:rPr>
          <w:rFonts w:ascii="Calibri" w:eastAsia="Times New Roman" w:hAnsi="Calibri" w:cs="Times New Roman"/>
          <w:color w:val="000000"/>
          <w:sz w:val="16"/>
          <w:szCs w:val="16"/>
          <w:lang w:eastAsia="it-IT"/>
        </w:rPr>
        <w:br/>
        <w:t>c) commerciale; </w:t>
      </w:r>
      <w:r w:rsidRPr="00C653AE">
        <w:rPr>
          <w:rFonts w:ascii="Calibri" w:eastAsia="Times New Roman" w:hAnsi="Calibri" w:cs="Times New Roman"/>
          <w:color w:val="000000"/>
          <w:sz w:val="16"/>
          <w:szCs w:val="16"/>
          <w:lang w:eastAsia="it-IT"/>
        </w:rPr>
        <w:br/>
        <w:t>d) rurale. </w:t>
      </w:r>
    </w:p>
    <w:p w:rsidR="0060283D" w:rsidRPr="00C653AE" w:rsidRDefault="0060283D" w:rsidP="00C653AE">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C653AE">
        <w:rPr>
          <w:rFonts w:ascii="Calibri" w:eastAsia="Times New Roman" w:hAnsi="Calibri" w:cs="Times New Roman"/>
          <w:strike/>
          <w:color w:val="000000"/>
          <w:sz w:val="16"/>
          <w:szCs w:val="16"/>
          <w:lang w:eastAsia="it-IT"/>
        </w:rPr>
        <w:t>2. La destinazione d'uso di un fabbricato o di una unità immobiliare è quella prevalente in termini di superficie utile. </w:t>
      </w:r>
      <w:r w:rsidRPr="00C653AE">
        <w:rPr>
          <w:rFonts w:ascii="Calibri" w:eastAsia="Times New Roman" w:hAnsi="Calibri" w:cs="Times New Roman"/>
          <w:strike/>
          <w:color w:val="000000"/>
          <w:sz w:val="16"/>
          <w:szCs w:val="16"/>
          <w:lang w:eastAsia="it-IT"/>
        </w:rPr>
        <w:br/>
      </w:r>
      <w:r w:rsidRPr="00C653AE">
        <w:rPr>
          <w:rFonts w:ascii="Calibri" w:eastAsia="Times New Roman" w:hAnsi="Calibri" w:cs="Times New Roman"/>
          <w:b/>
          <w:bCs/>
          <w:color w:val="000000"/>
          <w:sz w:val="16"/>
          <w:szCs w:val="16"/>
          <w:lang w:eastAsia="it-IT"/>
        </w:rPr>
        <w:t>2. La destinazione d’uso dell’immobile o dell’unità immobiliare è quella stabilita dalla documentazione di cui all’</w:t>
      </w:r>
      <w:hyperlink r:id="rId69" w:anchor="009-bis" w:history="1">
        <w:r w:rsidRPr="00C653AE">
          <w:rPr>
            <w:rFonts w:ascii="Calibri" w:eastAsia="Times New Roman" w:hAnsi="Calibri" w:cs="Times New Roman"/>
            <w:b/>
            <w:bCs/>
            <w:color w:val="0000FF"/>
            <w:sz w:val="16"/>
            <w:szCs w:val="16"/>
            <w:u w:val="single"/>
            <w:lang w:eastAsia="it-IT"/>
          </w:rPr>
          <w:t>articolo 9-bis, comma 1-bis</w:t>
        </w:r>
      </w:hyperlink>
      <w:r w:rsidRPr="00C653AE">
        <w:rPr>
          <w:rFonts w:ascii="Calibri" w:eastAsia="Times New Roman" w:hAnsi="Calibri" w:cs="Times New Roman"/>
          <w:b/>
          <w:bCs/>
          <w:color w:val="000000"/>
          <w:sz w:val="16"/>
          <w:szCs w:val="16"/>
          <w:lang w:eastAsia="it-IT"/>
        </w:rPr>
        <w:t>.</w:t>
      </w:r>
      <w:r w:rsidRPr="00C653AE">
        <w:rPr>
          <w:rFonts w:ascii="Calibri" w:eastAsia="Times New Roman" w:hAnsi="Calibri" w:cs="Times New Roman"/>
          <w:b/>
          <w:bCs/>
          <w:color w:val="000000"/>
          <w:sz w:val="16"/>
          <w:szCs w:val="16"/>
          <w:lang w:eastAsia="it-IT"/>
        </w:rPr>
        <w:br/>
      </w:r>
      <w:r w:rsidRPr="00C653AE">
        <w:rPr>
          <w:rFonts w:ascii="Calibri" w:eastAsia="Times New Roman" w:hAnsi="Calibri" w:cs="Times New Roman"/>
          <w:i/>
          <w:iCs/>
          <w:color w:val="FF0000"/>
          <w:sz w:val="16"/>
          <w:szCs w:val="16"/>
          <w:lang w:eastAsia="it-IT"/>
        </w:rPr>
        <w:t>(comma così sostituito dall'art. 10, comma 1, lettera m), del decreto-legge n. 76 del 2020)</w:t>
      </w:r>
    </w:p>
    <w:p w:rsidR="0060283D" w:rsidRPr="00C653AE" w:rsidRDefault="0060283D" w:rsidP="00C653AE">
      <w:pPr>
        <w:shd w:val="clear" w:color="auto" w:fill="F5FDFE"/>
        <w:spacing w:before="100" w:beforeAutospacing="1" w:after="100" w:afterAutospacing="1"/>
        <w:rPr>
          <w:rFonts w:ascii="-webkit-standard" w:eastAsia="Times New Roman" w:hAnsi="-webkit-standard" w:cs="Times New Roman"/>
          <w:color w:val="000000"/>
          <w:sz w:val="16"/>
          <w:szCs w:val="16"/>
          <w:lang w:eastAsia="it-IT"/>
        </w:rPr>
      </w:pPr>
      <w:r w:rsidRPr="00C653AE">
        <w:rPr>
          <w:rFonts w:ascii="Calibri" w:eastAsia="Times New Roman" w:hAnsi="Calibri" w:cs="Times New Roman"/>
          <w:color w:val="000000"/>
          <w:sz w:val="16"/>
          <w:szCs w:val="16"/>
          <w:lang w:eastAsia="it-IT"/>
        </w:rPr>
        <w:t>3. Le regioni adeguano la propria legislazione ai principi di cui al presente articolo entro novanta giorni dalla data della sua entrata in vigore. Decorso tale termine, trovano applicazione diretta le disposizioni del presente articolo. Salva diversa previsione da parte delle leggi regionali e degli strumenti urbanistici comunali, il mutamento della destinazione d'uso all'interno della stessa categoria funzionale è sempre consentito. </w:t>
      </w:r>
    </w:p>
    <w:p w:rsidR="0060283D" w:rsidRPr="00C653AE" w:rsidRDefault="0060283D" w:rsidP="00C653AE">
      <w:pPr>
        <w:rPr>
          <w:rFonts w:ascii="Times New Roman" w:eastAsia="Times New Roman" w:hAnsi="Times New Roman" w:cs="Times New Roman"/>
          <w:lang w:eastAsia="it-IT"/>
        </w:rPr>
      </w:pPr>
    </w:p>
    <w:p w:rsidR="0060283D" w:rsidRDefault="0060283D">
      <w:pPr>
        <w:pStyle w:val="Testonotaapidipagina"/>
      </w:pPr>
    </w:p>
  </w:footnote>
  <w:footnote w:id="12">
    <w:p w:rsidR="0060283D" w:rsidRPr="00C653AE" w:rsidRDefault="0060283D" w:rsidP="00C653AE">
      <w:pPr>
        <w:pStyle w:val="NormaleWeb"/>
        <w:shd w:val="clear" w:color="auto" w:fill="F5FDFE"/>
        <w:rPr>
          <w:rFonts w:ascii="-webkit-standard" w:hAnsi="-webkit-standard"/>
          <w:color w:val="000000"/>
          <w:sz w:val="16"/>
          <w:szCs w:val="16"/>
        </w:rPr>
      </w:pPr>
      <w:r>
        <w:rPr>
          <w:rStyle w:val="Rimandonotaapidipagina"/>
        </w:rPr>
        <w:footnoteRef/>
      </w:r>
      <w:r>
        <w:t xml:space="preserve"> </w:t>
      </w:r>
      <w:bookmarkStart w:id="11" w:name="024"/>
      <w:r w:rsidRPr="00C653AE">
        <w:rPr>
          <w:rFonts w:ascii="Calibri" w:hAnsi="Calibri"/>
          <w:b/>
          <w:bCs/>
          <w:color w:val="000000"/>
          <w:sz w:val="16"/>
          <w:szCs w:val="16"/>
        </w:rPr>
        <w:t>Art. 24 (L) - Agibilità</w:t>
      </w:r>
      <w:bookmarkEnd w:id="11"/>
      <w:r w:rsidRPr="00C653AE">
        <w:rPr>
          <w:rFonts w:ascii="Calibri" w:hAnsi="Calibri"/>
          <w:color w:val="000000"/>
          <w:sz w:val="16"/>
          <w:szCs w:val="16"/>
        </w:rPr>
        <w:br/>
      </w:r>
      <w:r w:rsidRPr="00C653AE">
        <w:rPr>
          <w:rStyle w:val="Enfasicorsivo"/>
          <w:rFonts w:ascii="Calibri" w:hAnsi="Calibri"/>
          <w:color w:val="FF0000"/>
          <w:sz w:val="16"/>
          <w:szCs w:val="16"/>
        </w:rPr>
        <w:t>(articolo così sostituito dall'</w:t>
      </w:r>
      <w:hyperlink r:id="rId70" w:anchor="03" w:history="1">
        <w:r w:rsidRPr="00C653AE">
          <w:rPr>
            <w:rStyle w:val="Collegamentoipertestuale"/>
            <w:rFonts w:ascii="Calibri" w:hAnsi="Calibri"/>
            <w:i/>
            <w:iCs/>
            <w:sz w:val="16"/>
            <w:szCs w:val="16"/>
          </w:rPr>
          <w:t>art. 3 del d.lgs. n. 222 del 2016</w:t>
        </w:r>
      </w:hyperlink>
      <w:r w:rsidRPr="00C653AE">
        <w:rPr>
          <w:rStyle w:val="Enfasicorsivo"/>
          <w:rFonts w:ascii="Calibri" w:hAnsi="Calibri"/>
          <w:color w:val="FF0000"/>
          <w:sz w:val="16"/>
          <w:szCs w:val="16"/>
        </w:rPr>
        <w:t>)</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1. La sussistenza delle condizioni di sicurezza, igiene, salubrità, risparmio energetico degli edifici e degli impianti negli stessi installati, valutate secondo quanto dispone la normativa vigente, nonché la conformità dell'opera al progetto presentato e la sua agibilità sono attestati mediante segnalazione certificata.</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2. Ai fini dell'agibilità, entro quindici giorni dall'ultimazione dei lavori di finitura dell'intervento, il soggetto titolare del permesso di costruire, o il soggetto che ha presentato la segnalazione certificata di inizio di attività, o i loro successori o aventi causa, presenta allo sportello unico per l'edilizia la segnalazione certificata, per i seguenti interventi:</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a) nuove costruzioni;</w:t>
      </w:r>
      <w:r w:rsidRPr="00C653AE">
        <w:rPr>
          <w:rStyle w:val="apple-converted-space"/>
          <w:rFonts w:ascii="Calibri" w:hAnsi="Calibri"/>
          <w:color w:val="000000"/>
          <w:sz w:val="16"/>
          <w:szCs w:val="16"/>
        </w:rPr>
        <w:t> </w:t>
      </w:r>
      <w:r w:rsidRPr="00C653AE">
        <w:rPr>
          <w:rFonts w:ascii="Calibri" w:hAnsi="Calibri"/>
          <w:color w:val="000000"/>
          <w:sz w:val="16"/>
          <w:szCs w:val="16"/>
        </w:rPr>
        <w:br/>
        <w:t>b) ricostruzioni o sopraelevazioni, totali o parziali;</w:t>
      </w:r>
      <w:r w:rsidRPr="00C653AE">
        <w:rPr>
          <w:rStyle w:val="apple-converted-space"/>
          <w:rFonts w:ascii="Calibri" w:hAnsi="Calibri"/>
          <w:color w:val="000000"/>
          <w:sz w:val="16"/>
          <w:szCs w:val="16"/>
        </w:rPr>
        <w:t> </w:t>
      </w:r>
      <w:r w:rsidRPr="00C653AE">
        <w:rPr>
          <w:rFonts w:ascii="Calibri" w:hAnsi="Calibri"/>
          <w:color w:val="000000"/>
          <w:sz w:val="16"/>
          <w:szCs w:val="16"/>
        </w:rPr>
        <w:br/>
        <w:t>c) interventi sugli edifici esistenti che possano influire sulle condizioni di cui al comma 1.</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3. La mancata presentazione della segnalazione, nei casi indicati al comma 2, comporta l'applicazione della sanzione amministrativa pecuniaria da euro 77 a euro 464.</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4. Ai fini dell'agibilità, la segnalazione certificata può riguardare anche:</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a) singoli edifici o singole porzioni della costruzione, purché funzionalmente autonomi, qualora siano state realizzate e collaudate le opere di urbanizzazione primaria relative all'intero intervento edilizio e siano state completate e collaudate le parti strutturali connesse, nonché collaudati e certificati gli impianti relativi alle parti comuni;</w:t>
      </w:r>
      <w:r w:rsidRPr="00C653AE">
        <w:rPr>
          <w:rStyle w:val="apple-converted-space"/>
          <w:rFonts w:ascii="Calibri" w:hAnsi="Calibri"/>
          <w:color w:val="000000"/>
          <w:sz w:val="16"/>
          <w:szCs w:val="16"/>
        </w:rPr>
        <w:t> </w:t>
      </w:r>
      <w:r w:rsidRPr="00C653AE">
        <w:rPr>
          <w:rFonts w:ascii="Calibri" w:hAnsi="Calibri"/>
          <w:color w:val="000000"/>
          <w:sz w:val="16"/>
          <w:szCs w:val="16"/>
        </w:rPr>
        <w:br/>
        <w:t>b) singole unità immobiliari, purché siano completate e collaudate le opere strutturali connesse, siano certificati gli impianti e siano completate le parti comuni e le opere di urbanizzazione primaria dichiarate funzionali rispetto all'edificio oggetto di agibilità parziale.</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5. La segnalazione certificata di cui ai commi da 1 a 4 è corredata dalla seguente documentazione:</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a) attestazione del direttore dei lavori o, qualora non nominato, di un professionista abilitato che assevera la sussistenza delle condizioni di cui al comma 1;</w:t>
      </w:r>
      <w:r w:rsidRPr="00C653AE">
        <w:rPr>
          <w:rStyle w:val="apple-converted-space"/>
          <w:rFonts w:ascii="Calibri" w:hAnsi="Calibri"/>
          <w:color w:val="000000"/>
          <w:sz w:val="16"/>
          <w:szCs w:val="16"/>
        </w:rPr>
        <w:t> </w:t>
      </w:r>
      <w:r w:rsidRPr="00C653AE">
        <w:rPr>
          <w:rFonts w:ascii="Calibri" w:hAnsi="Calibri"/>
          <w:color w:val="000000"/>
          <w:sz w:val="16"/>
          <w:szCs w:val="16"/>
        </w:rPr>
        <w:br/>
        <w:t>b) certificato di collaudo statico di cui all'</w:t>
      </w:r>
      <w:hyperlink r:id="rId71" w:anchor="067" w:history="1">
        <w:r w:rsidRPr="00C653AE">
          <w:rPr>
            <w:rStyle w:val="Collegamentoipertestuale"/>
            <w:rFonts w:ascii="Calibri" w:hAnsi="Calibri"/>
            <w:sz w:val="16"/>
            <w:szCs w:val="16"/>
          </w:rPr>
          <w:t>articolo 67</w:t>
        </w:r>
      </w:hyperlink>
      <w:r w:rsidRPr="00C653AE">
        <w:rPr>
          <w:rStyle w:val="apple-converted-space"/>
          <w:rFonts w:ascii="Calibri" w:hAnsi="Calibri"/>
          <w:color w:val="000000"/>
          <w:sz w:val="16"/>
          <w:szCs w:val="16"/>
        </w:rPr>
        <w:t> </w:t>
      </w:r>
      <w:r w:rsidRPr="00C653AE">
        <w:rPr>
          <w:rFonts w:ascii="Calibri" w:hAnsi="Calibri"/>
          <w:color w:val="000000"/>
          <w:sz w:val="16"/>
          <w:szCs w:val="16"/>
        </w:rPr>
        <w:t>ovvero, per gli interventi di cui al comma 8-bis del medesimo articolo, dichiarazione di regolare esecuzione resa dal direttore dei lavori;</w:t>
      </w:r>
      <w:r w:rsidRPr="00C653AE">
        <w:rPr>
          <w:rStyle w:val="apple-converted-space"/>
          <w:rFonts w:ascii="Calibri" w:hAnsi="Calibri"/>
          <w:color w:val="000000"/>
          <w:sz w:val="16"/>
          <w:szCs w:val="16"/>
        </w:rPr>
        <w:t> </w:t>
      </w:r>
      <w:r w:rsidRPr="00C653AE">
        <w:rPr>
          <w:rFonts w:ascii="Calibri" w:hAnsi="Calibri"/>
          <w:color w:val="000000"/>
          <w:sz w:val="16"/>
          <w:szCs w:val="16"/>
        </w:rPr>
        <w:br/>
        <w:t>c) dichiarazione di conformità delle opere realizzate alla normativa vigente in materia di accessibilità e superamento delle barriere architettoniche di cui all'</w:t>
      </w:r>
      <w:hyperlink r:id="rId72" w:anchor="077" w:history="1">
        <w:r w:rsidRPr="00C653AE">
          <w:rPr>
            <w:rStyle w:val="Collegamentoipertestuale"/>
            <w:rFonts w:ascii="Calibri" w:hAnsi="Calibri"/>
            <w:sz w:val="16"/>
            <w:szCs w:val="16"/>
          </w:rPr>
          <w:t>articolo 77</w:t>
        </w:r>
      </w:hyperlink>
      <w:r w:rsidRPr="00C653AE">
        <w:rPr>
          <w:rFonts w:ascii="Calibri" w:hAnsi="Calibri"/>
          <w:color w:val="000000"/>
          <w:sz w:val="16"/>
          <w:szCs w:val="16"/>
        </w:rPr>
        <w:t>, nonché all'</w:t>
      </w:r>
      <w:hyperlink r:id="rId73" w:anchor="082" w:history="1">
        <w:r w:rsidRPr="00C653AE">
          <w:rPr>
            <w:rStyle w:val="Collegamentoipertestuale"/>
            <w:rFonts w:ascii="Calibri" w:hAnsi="Calibri"/>
            <w:sz w:val="16"/>
            <w:szCs w:val="16"/>
          </w:rPr>
          <w:t>articolo 82</w:t>
        </w:r>
      </w:hyperlink>
      <w:r w:rsidRPr="00C653AE">
        <w:rPr>
          <w:rFonts w:ascii="Calibri" w:hAnsi="Calibri"/>
          <w:color w:val="000000"/>
          <w:sz w:val="16"/>
          <w:szCs w:val="16"/>
        </w:rPr>
        <w:t>;</w:t>
      </w:r>
      <w:r w:rsidRPr="00C653AE">
        <w:rPr>
          <w:rStyle w:val="apple-converted-space"/>
          <w:rFonts w:ascii="Calibri" w:hAnsi="Calibri"/>
          <w:color w:val="000000"/>
          <w:sz w:val="16"/>
          <w:szCs w:val="16"/>
        </w:rPr>
        <w:t> </w:t>
      </w:r>
      <w:r w:rsidRPr="00C653AE">
        <w:rPr>
          <w:rFonts w:ascii="Calibri" w:hAnsi="Calibri"/>
          <w:color w:val="000000"/>
          <w:sz w:val="16"/>
          <w:szCs w:val="16"/>
        </w:rPr>
        <w:br/>
        <w:t>d) gli estremi dell'avvenuta dichiarazione di aggiornamento catastale;</w:t>
      </w:r>
      <w:r w:rsidRPr="00C653AE">
        <w:rPr>
          <w:rStyle w:val="apple-converted-space"/>
          <w:rFonts w:ascii="Calibri" w:hAnsi="Calibri"/>
          <w:color w:val="000000"/>
          <w:sz w:val="16"/>
          <w:szCs w:val="16"/>
        </w:rPr>
        <w:t> </w:t>
      </w:r>
      <w:r w:rsidRPr="00C653AE">
        <w:rPr>
          <w:rFonts w:ascii="Calibri" w:hAnsi="Calibri"/>
          <w:color w:val="000000"/>
          <w:sz w:val="16"/>
          <w:szCs w:val="16"/>
        </w:rPr>
        <w:br/>
        <w:t>e) dichiarazione dell'impresa installatrice, che attesta la conformità degli impianti installati negli edifici alle condizioni di sicurezza, igiene, salubrità, risparmio energetico prescritte dalla disciplina vigente ovvero, ove previsto, certificato di collaudo degli stessi.</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6. L'utilizzo delle costruzioni di cui ai commi 2 e 4 può essere iniziato dalla data di presentazione allo sportello unico della segnalazione corredata della documentazione di cui al comma 5. Si applica l'</w:t>
      </w:r>
      <w:hyperlink r:id="rId74" w:anchor="19" w:history="1">
        <w:r w:rsidRPr="00C653AE">
          <w:rPr>
            <w:rStyle w:val="Collegamentoipertestuale"/>
            <w:rFonts w:ascii="Calibri" w:hAnsi="Calibri"/>
            <w:sz w:val="16"/>
            <w:szCs w:val="16"/>
          </w:rPr>
          <w:t>articolo 19, commi 3 e 6-bis, della legge 7 agosto 1990, n. 241</w:t>
        </w:r>
      </w:hyperlink>
      <w:r w:rsidRPr="00C653AE">
        <w:rPr>
          <w:rFonts w:ascii="Calibri" w:hAnsi="Calibri"/>
          <w:color w:val="000000"/>
          <w:sz w:val="16"/>
          <w:szCs w:val="16"/>
        </w:rPr>
        <w:t>.</w:t>
      </w:r>
      <w:r w:rsidRPr="00C653AE">
        <w:rPr>
          <w:rStyle w:val="apple-converted-space"/>
          <w:rFonts w:ascii="Calibri" w:hAnsi="Calibri"/>
          <w:color w:val="000000"/>
          <w:sz w:val="16"/>
          <w:szCs w:val="16"/>
        </w:rPr>
        <w:t> </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7. Le Regioni, le Province autonome, i Comuni e le Città metropolitane, nell'ambito delle proprie competenze, disciplinano le modalità di effettuazione dei controlli, anche a campione e comprensivi dell'ispezione delle opere realizzate.</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b/>
          <w:bCs/>
          <w:color w:val="000000"/>
          <w:sz w:val="16"/>
          <w:szCs w:val="16"/>
        </w:rPr>
        <w:t>7-bis. La segnalazione certificata può altresì essere presentata, in assenza di lavori, per gli immobili legittimamente realizzati privi di agibilità che presentano i requisiti definiti con decreto del Ministro delle infrastrutture e dei trasporti, di concerto con il Ministro della salute, con il Ministro per i beni e le attività culturali e per il turismo e con il Ministro per la pubblica amministrazione, da adottarsi, previa intesa in Conferenza unificata di cui all’articolo 8 del decreto legislativo 28 agosto 1997, n. 281, entro novanta giorni dalla data di entrata in vigore della presente disposizione.</w:t>
      </w:r>
      <w:r w:rsidRPr="00C653AE">
        <w:rPr>
          <w:rFonts w:ascii="Calibri" w:hAnsi="Calibri"/>
          <w:b/>
          <w:bCs/>
          <w:color w:val="000000"/>
          <w:sz w:val="16"/>
          <w:szCs w:val="16"/>
        </w:rPr>
        <w:br/>
      </w:r>
      <w:r w:rsidRPr="00C653AE">
        <w:rPr>
          <w:rStyle w:val="Enfasicorsivo"/>
          <w:rFonts w:ascii="Calibri" w:hAnsi="Calibri"/>
          <w:color w:val="FF0000"/>
          <w:sz w:val="16"/>
          <w:szCs w:val="16"/>
        </w:rPr>
        <w:t>(comma aggiunto dall'art. 10, comma 1, lettera n), del decreto-legge n. 76 del 2020)</w:t>
      </w:r>
    </w:p>
    <w:p w:rsidR="0060283D" w:rsidRPr="00C653AE" w:rsidRDefault="0060283D">
      <w:pPr>
        <w:pStyle w:val="Testonotaapidipagina"/>
        <w:rPr>
          <w:sz w:val="16"/>
          <w:szCs w:val="16"/>
        </w:rPr>
      </w:pPr>
    </w:p>
  </w:footnote>
  <w:footnote w:id="13">
    <w:p w:rsidR="0060283D" w:rsidRPr="00C653AE" w:rsidRDefault="0060283D" w:rsidP="00C653AE">
      <w:pPr>
        <w:pStyle w:val="NormaleWeb"/>
        <w:shd w:val="clear" w:color="auto" w:fill="F5FDFE"/>
        <w:rPr>
          <w:rFonts w:ascii="-webkit-standard" w:hAnsi="-webkit-standard"/>
          <w:color w:val="000000"/>
          <w:sz w:val="16"/>
          <w:szCs w:val="16"/>
        </w:rPr>
      </w:pPr>
      <w:r>
        <w:rPr>
          <w:rStyle w:val="Rimandonotaapidipagina"/>
        </w:rPr>
        <w:footnoteRef/>
      </w:r>
      <w:r>
        <w:t xml:space="preserve"> </w:t>
      </w:r>
      <w:bookmarkStart w:id="12" w:name="034"/>
      <w:r w:rsidRPr="00C653AE">
        <w:rPr>
          <w:rFonts w:ascii="Calibri" w:hAnsi="Calibri"/>
          <w:b/>
          <w:bCs/>
          <w:color w:val="000000"/>
          <w:sz w:val="16"/>
          <w:szCs w:val="16"/>
        </w:rPr>
        <w:t>Art. 34 (L) - Interventi eseguiti in parziale difformità dal permesso di costruire</w:t>
      </w:r>
      <w:bookmarkEnd w:id="12"/>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1. Gli interventi e le opere realizzati in parziale difformità dal permesso di costruire sono rimossi o demoliti a cura e spese dei responsabili dell'abuso entro il termine congruo fissato dalla relativa ordinanza del dirigente o del responsabile dell’ufficio. Decorso tale termine sono rimossi o demoliti a cura del comune e a spese dei medesimi responsabili dell'abuso.</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2. Quando la demolizione non può avvenire senza pregiudizio della parte eseguita in conformità, il dirigente o il responsabile dell’ufficio applica una sanzione pari al doppio del costo di produzione, stabilito in base alla legge 27 luglio 1978, n. 392, della parte dell'opera realizzata in difformità dal permesso di costruire, se ad uso residenziale, e pari al doppio del valore venale, determinato a cura della agenzia del territorio, per le opere adibite ad usi diversi da quello residenziale.</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2-bis. Le disposizioni del presente articolo si applicano anche agli interventi edilizi di cui all'</w:t>
      </w:r>
      <w:hyperlink r:id="rId75" w:anchor="023" w:history="1">
        <w:r w:rsidRPr="00C653AE">
          <w:rPr>
            <w:rStyle w:val="Collegamentoipertestuale"/>
            <w:rFonts w:ascii="Calibri" w:hAnsi="Calibri"/>
            <w:sz w:val="16"/>
            <w:szCs w:val="16"/>
          </w:rPr>
          <w:t>articolo 23, comma 01</w:t>
        </w:r>
      </w:hyperlink>
      <w:r w:rsidRPr="00C653AE">
        <w:rPr>
          <w:rFonts w:ascii="Calibri" w:hAnsi="Calibri"/>
          <w:color w:val="000000"/>
          <w:sz w:val="16"/>
          <w:szCs w:val="16"/>
        </w:rPr>
        <w:t xml:space="preserve">, eseguiti in parziale difformità dalla segnalazione di </w:t>
      </w:r>
      <w:proofErr w:type="spellStart"/>
      <w:r w:rsidRPr="00C653AE">
        <w:rPr>
          <w:rFonts w:ascii="Calibri" w:hAnsi="Calibri"/>
          <w:color w:val="000000"/>
          <w:sz w:val="16"/>
          <w:szCs w:val="16"/>
        </w:rPr>
        <w:t>di</w:t>
      </w:r>
      <w:proofErr w:type="spellEnd"/>
      <w:r w:rsidRPr="00C653AE">
        <w:rPr>
          <w:rFonts w:ascii="Calibri" w:hAnsi="Calibri"/>
          <w:color w:val="000000"/>
          <w:sz w:val="16"/>
          <w:szCs w:val="16"/>
        </w:rPr>
        <w:t xml:space="preserve"> inizio attività.</w:t>
      </w:r>
    </w:p>
    <w:p w:rsidR="0060283D" w:rsidRPr="00C653AE" w:rsidRDefault="0060283D" w:rsidP="00C653AE">
      <w:pPr>
        <w:rPr>
          <w:rFonts w:ascii="Times New Roman" w:eastAsia="Times New Roman" w:hAnsi="Times New Roman" w:cs="Times New Roman"/>
          <w:sz w:val="16"/>
          <w:szCs w:val="16"/>
          <w:lang w:eastAsia="it-IT"/>
        </w:rPr>
      </w:pPr>
      <w:r w:rsidRPr="00C653AE">
        <w:rPr>
          <w:rFonts w:ascii="Calibri" w:hAnsi="Calibri"/>
          <w:color w:val="000000"/>
          <w:sz w:val="16"/>
          <w:szCs w:val="16"/>
        </w:rPr>
        <w:t>2-ter.</w:t>
      </w:r>
      <w:r w:rsidRPr="00C653AE">
        <w:rPr>
          <w:rStyle w:val="apple-converted-space"/>
          <w:rFonts w:ascii="Calibri" w:hAnsi="Calibri"/>
          <w:color w:val="000000"/>
          <w:sz w:val="16"/>
          <w:szCs w:val="16"/>
        </w:rPr>
        <w:t> </w:t>
      </w:r>
      <w:r w:rsidRPr="00C653AE">
        <w:rPr>
          <w:rFonts w:ascii="Calibri" w:hAnsi="Calibri"/>
          <w:strike/>
          <w:color w:val="000000"/>
          <w:sz w:val="16"/>
          <w:szCs w:val="16"/>
        </w:rPr>
        <w:t>Ai fini dell’applicazione del presente articolo, non si ha parziale difformità del titolo abilitativo in presenza di violazioni di altezza, distacchi, cubatura o superficie coperta che non eccedano per singola unità immobiliare il 2 per cento delle</w:t>
      </w:r>
      <w:r w:rsidRPr="00C653AE">
        <w:rPr>
          <w:rStyle w:val="apple-converted-space"/>
          <w:rFonts w:ascii="Calibri" w:hAnsi="Calibri"/>
          <w:strike/>
          <w:color w:val="000000"/>
          <w:sz w:val="16"/>
          <w:szCs w:val="16"/>
        </w:rPr>
        <w:t xml:space="preserve"> misure </w:t>
      </w:r>
      <w:r w:rsidRPr="00C653AE">
        <w:rPr>
          <w:rFonts w:ascii="Calibri" w:eastAsia="Times New Roman" w:hAnsi="Calibri" w:cs="Times New Roman"/>
          <w:strike/>
          <w:color w:val="000000"/>
          <w:sz w:val="16"/>
          <w:szCs w:val="16"/>
          <w:lang w:eastAsia="it-IT"/>
        </w:rPr>
        <w:t>progettuali</w:t>
      </w:r>
      <w:r w:rsidRPr="00C653AE">
        <w:rPr>
          <w:rFonts w:ascii="Calibri" w:eastAsia="Times New Roman" w:hAnsi="Calibri" w:cs="Times New Roman"/>
          <w:color w:val="000000"/>
          <w:sz w:val="16"/>
          <w:szCs w:val="16"/>
          <w:lang w:eastAsia="it-IT"/>
        </w:rPr>
        <w:t>.</w:t>
      </w:r>
      <w:r w:rsidRPr="00C653AE">
        <w:rPr>
          <w:rFonts w:ascii="Calibri" w:eastAsia="Times New Roman" w:hAnsi="Calibri" w:cs="Times New Roman"/>
          <w:i/>
          <w:iCs/>
          <w:color w:val="FF0000"/>
          <w:sz w:val="16"/>
          <w:szCs w:val="16"/>
          <w:lang w:eastAsia="it-IT"/>
        </w:rPr>
        <w:t> (comma abrogato dall'</w:t>
      </w:r>
      <w:hyperlink r:id="rId76" w:anchor="10" w:history="1">
        <w:r w:rsidRPr="00C653AE">
          <w:rPr>
            <w:rFonts w:ascii="Calibri" w:eastAsia="Times New Roman" w:hAnsi="Calibri" w:cs="Times New Roman"/>
            <w:i/>
            <w:iCs/>
            <w:color w:val="0000FF"/>
            <w:sz w:val="16"/>
            <w:szCs w:val="16"/>
            <w:u w:val="single"/>
            <w:lang w:eastAsia="it-IT"/>
          </w:rPr>
          <w:t>art. 10, comma 1, lettera o), del decreto-legge n. 76 del 2020</w:t>
        </w:r>
      </w:hyperlink>
      <w:r w:rsidRPr="00C653AE">
        <w:rPr>
          <w:rFonts w:ascii="Calibri" w:eastAsia="Times New Roman" w:hAnsi="Calibri" w:cs="Times New Roman"/>
          <w:i/>
          <w:iCs/>
          <w:color w:val="FF0000"/>
          <w:sz w:val="16"/>
          <w:szCs w:val="16"/>
          <w:lang w:eastAsia="it-IT"/>
        </w:rPr>
        <w:t>)</w:t>
      </w:r>
    </w:p>
    <w:p w:rsidR="0060283D" w:rsidRDefault="0060283D">
      <w:pPr>
        <w:pStyle w:val="Testonotaapidipagina"/>
      </w:pPr>
    </w:p>
  </w:footnote>
  <w:footnote w:id="14">
    <w:p w:rsidR="0060283D" w:rsidRPr="00C653AE" w:rsidRDefault="0060283D" w:rsidP="00C653AE">
      <w:pPr>
        <w:pStyle w:val="NormaleWeb"/>
        <w:shd w:val="clear" w:color="auto" w:fill="F5FDFE"/>
        <w:rPr>
          <w:rFonts w:ascii="-webkit-standard" w:hAnsi="-webkit-standard"/>
          <w:color w:val="000000"/>
          <w:sz w:val="16"/>
          <w:szCs w:val="16"/>
        </w:rPr>
      </w:pPr>
      <w:r>
        <w:rPr>
          <w:rStyle w:val="Rimandonotaapidipagina"/>
        </w:rPr>
        <w:footnoteRef/>
      </w:r>
      <w:r>
        <w:t xml:space="preserve"> </w:t>
      </w:r>
      <w:r w:rsidRPr="00C653AE">
        <w:rPr>
          <w:rFonts w:ascii="Calibri" w:hAnsi="Calibri"/>
          <w:b/>
          <w:bCs/>
          <w:color w:val="000000"/>
          <w:sz w:val="16"/>
          <w:szCs w:val="16"/>
        </w:rPr>
        <w:t>Art. 34 (L) - Interventi eseguiti in parziale difformità dal permesso di costruire</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1. Gli interventi e le opere realizzati in parziale difformità dal permesso di costruire sono rimossi o demoliti a cura e spese dei responsabili dell'abuso entro il termine congruo fissato dalla relativa ordinanza del dirigente o del responsabile dell’ufficio. Decorso tale termine sono rimossi o demoliti a cura del comune e a spese dei medesimi responsabili dell'abuso.</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2. Quando la demolizione non può avvenire senza pregiudizio della parte eseguita in conformità, il dirigente o il responsabile dell’ufficio applica una sanzione pari al doppio del costo di produzione, stabilito in base alla legge 27 luglio 1978, n. 392, della parte dell'opera realizzata in difformità dal permesso di costruire, se ad uso residenziale, e pari al doppio del valore venale, determinato a cura della agenzia del territorio, per le opere adibite ad usi diversi da quello residenziale.</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2-bis. Le disposizioni del presente articolo si applicano anche agli interventi edilizi di cui all'</w:t>
      </w:r>
      <w:hyperlink r:id="rId77" w:anchor="023" w:history="1">
        <w:r w:rsidRPr="00C653AE">
          <w:rPr>
            <w:rStyle w:val="Collegamentoipertestuale"/>
            <w:rFonts w:ascii="Calibri" w:hAnsi="Calibri"/>
            <w:sz w:val="16"/>
            <w:szCs w:val="16"/>
          </w:rPr>
          <w:t>articolo 23, comma 01</w:t>
        </w:r>
      </w:hyperlink>
      <w:r w:rsidRPr="00C653AE">
        <w:rPr>
          <w:rFonts w:ascii="Calibri" w:hAnsi="Calibri"/>
          <w:color w:val="000000"/>
          <w:sz w:val="16"/>
          <w:szCs w:val="16"/>
        </w:rPr>
        <w:t xml:space="preserve">, eseguiti in parziale difformità dalla segnalazione di </w:t>
      </w:r>
      <w:proofErr w:type="spellStart"/>
      <w:r w:rsidRPr="00C653AE">
        <w:rPr>
          <w:rFonts w:ascii="Calibri" w:hAnsi="Calibri"/>
          <w:color w:val="000000"/>
          <w:sz w:val="16"/>
          <w:szCs w:val="16"/>
        </w:rPr>
        <w:t>di</w:t>
      </w:r>
      <w:proofErr w:type="spellEnd"/>
      <w:r w:rsidRPr="00C653AE">
        <w:rPr>
          <w:rFonts w:ascii="Calibri" w:hAnsi="Calibri"/>
          <w:color w:val="000000"/>
          <w:sz w:val="16"/>
          <w:szCs w:val="16"/>
        </w:rPr>
        <w:t xml:space="preserve"> inizio attività.</w:t>
      </w:r>
    </w:p>
    <w:p w:rsidR="0060283D" w:rsidRPr="00C653AE" w:rsidRDefault="0060283D" w:rsidP="00C653AE">
      <w:pPr>
        <w:pStyle w:val="NormaleWeb"/>
        <w:shd w:val="clear" w:color="auto" w:fill="F5FDFE"/>
        <w:rPr>
          <w:rFonts w:ascii="-webkit-standard" w:hAnsi="-webkit-standard"/>
          <w:color w:val="000000"/>
          <w:sz w:val="16"/>
          <w:szCs w:val="16"/>
        </w:rPr>
      </w:pPr>
      <w:r w:rsidRPr="00C653AE">
        <w:rPr>
          <w:rFonts w:ascii="Calibri" w:hAnsi="Calibri"/>
          <w:color w:val="000000"/>
          <w:sz w:val="16"/>
          <w:szCs w:val="16"/>
        </w:rPr>
        <w:t>2-ter.</w:t>
      </w:r>
      <w:r w:rsidRPr="00C653AE">
        <w:rPr>
          <w:rStyle w:val="apple-converted-space"/>
          <w:rFonts w:ascii="Calibri" w:hAnsi="Calibri"/>
          <w:color w:val="000000"/>
          <w:sz w:val="16"/>
          <w:szCs w:val="16"/>
        </w:rPr>
        <w:t> </w:t>
      </w:r>
      <w:r w:rsidRPr="00C653AE">
        <w:rPr>
          <w:rFonts w:ascii="Calibri" w:hAnsi="Calibri"/>
          <w:strike/>
          <w:color w:val="000000"/>
          <w:sz w:val="16"/>
          <w:szCs w:val="16"/>
        </w:rPr>
        <w:t>Ai fini dell’applicazione del presente articolo, non si ha parziale difformità del titolo abilitativo in presenza di violazioni di altezza, distacchi, cubatura o superficie coperta che non eccedano per singola unità immobiliare il 2 per cento delle misure progettuali</w:t>
      </w:r>
      <w:r w:rsidRPr="00C653AE">
        <w:rPr>
          <w:rFonts w:ascii="Calibri" w:hAnsi="Calibri"/>
          <w:color w:val="000000"/>
          <w:sz w:val="16"/>
          <w:szCs w:val="16"/>
        </w:rPr>
        <w:t>.</w:t>
      </w:r>
      <w:r w:rsidRPr="00C653AE">
        <w:rPr>
          <w:rStyle w:val="apple-converted-space"/>
          <w:rFonts w:ascii="Calibri" w:hAnsi="Calibri"/>
          <w:i/>
          <w:iCs/>
          <w:color w:val="FF0000"/>
          <w:sz w:val="16"/>
          <w:szCs w:val="16"/>
        </w:rPr>
        <w:t> </w:t>
      </w:r>
      <w:r w:rsidRPr="00C653AE">
        <w:rPr>
          <w:rFonts w:ascii="Calibri" w:hAnsi="Calibri"/>
          <w:i/>
          <w:iCs/>
          <w:color w:val="FF0000"/>
          <w:sz w:val="16"/>
          <w:szCs w:val="16"/>
        </w:rPr>
        <w:t>(comma</w:t>
      </w:r>
      <w:r w:rsidRPr="00C653AE">
        <w:rPr>
          <w:rStyle w:val="apple-converted-space"/>
          <w:rFonts w:ascii="Calibri" w:hAnsi="Calibri"/>
          <w:i/>
          <w:iCs/>
          <w:color w:val="FF0000"/>
          <w:sz w:val="16"/>
          <w:szCs w:val="16"/>
        </w:rPr>
        <w:t> </w:t>
      </w:r>
      <w:r w:rsidRPr="00C653AE">
        <w:rPr>
          <w:rFonts w:ascii="Calibri" w:hAnsi="Calibri"/>
          <w:i/>
          <w:iCs/>
          <w:color w:val="FF0000"/>
          <w:sz w:val="16"/>
          <w:szCs w:val="16"/>
        </w:rPr>
        <w:t>abrogato</w:t>
      </w:r>
      <w:r w:rsidRPr="00C653AE">
        <w:rPr>
          <w:rStyle w:val="apple-converted-space"/>
          <w:rFonts w:ascii="Calibri" w:hAnsi="Calibri"/>
          <w:i/>
          <w:iCs/>
          <w:color w:val="FF0000"/>
          <w:sz w:val="16"/>
          <w:szCs w:val="16"/>
        </w:rPr>
        <w:t> </w:t>
      </w:r>
      <w:r w:rsidRPr="00C653AE">
        <w:rPr>
          <w:rFonts w:ascii="Calibri" w:hAnsi="Calibri"/>
          <w:i/>
          <w:iCs/>
          <w:color w:val="FF0000"/>
          <w:sz w:val="16"/>
          <w:szCs w:val="16"/>
        </w:rPr>
        <w:t>dall'</w:t>
      </w:r>
      <w:hyperlink r:id="rId78" w:anchor="10" w:history="1">
        <w:r w:rsidRPr="00C653AE">
          <w:rPr>
            <w:rStyle w:val="Collegamentoipertestuale"/>
            <w:rFonts w:ascii="Calibri" w:hAnsi="Calibri"/>
            <w:i/>
            <w:iCs/>
            <w:sz w:val="16"/>
            <w:szCs w:val="16"/>
          </w:rPr>
          <w:t>art. 10, comma 1, lettera o), del decreto-legge n. 76 del 2020</w:t>
        </w:r>
      </w:hyperlink>
      <w:r w:rsidRPr="00C653AE">
        <w:rPr>
          <w:rFonts w:ascii="Calibri" w:hAnsi="Calibri"/>
          <w:i/>
          <w:iCs/>
          <w:color w:val="FF0000"/>
          <w:sz w:val="16"/>
          <w:szCs w:val="16"/>
        </w:rPr>
        <w:t>)</w:t>
      </w:r>
    </w:p>
    <w:p w:rsidR="0060283D" w:rsidRDefault="0060283D">
      <w:pPr>
        <w:pStyle w:val="Testonotaapidipagina"/>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C0E7E44"/>
    <w:multiLevelType w:val="hybridMultilevel"/>
    <w:tmpl w:val="D48EDADA"/>
    <w:lvl w:ilvl="0" w:tplc="24C275F6">
      <w:start w:val="3"/>
      <w:numFmt w:val="bullet"/>
      <w:lvlText w:val="-"/>
      <w:lvlJc w:val="left"/>
      <w:pPr>
        <w:ind w:left="720" w:hanging="360"/>
      </w:pPr>
      <w:rPr>
        <w:rFonts w:ascii="Oxygen-Regular" w:eastAsia="Times New Roman" w:hAnsi="Oxygen-Regular"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ACB"/>
    <w:rsid w:val="00057A56"/>
    <w:rsid w:val="0006275D"/>
    <w:rsid w:val="000845AC"/>
    <w:rsid w:val="0015225C"/>
    <w:rsid w:val="00167D1B"/>
    <w:rsid w:val="00170FA6"/>
    <w:rsid w:val="00217CA3"/>
    <w:rsid w:val="0032068D"/>
    <w:rsid w:val="003F1855"/>
    <w:rsid w:val="003F522F"/>
    <w:rsid w:val="005957CA"/>
    <w:rsid w:val="0060283D"/>
    <w:rsid w:val="00762293"/>
    <w:rsid w:val="00783DBF"/>
    <w:rsid w:val="007C5253"/>
    <w:rsid w:val="00883ACB"/>
    <w:rsid w:val="009172F4"/>
    <w:rsid w:val="00941229"/>
    <w:rsid w:val="00A95C0B"/>
    <w:rsid w:val="00B261AB"/>
    <w:rsid w:val="00B53661"/>
    <w:rsid w:val="00C4737F"/>
    <w:rsid w:val="00C653AE"/>
    <w:rsid w:val="00CE0F0E"/>
    <w:rsid w:val="00CF1D54"/>
    <w:rsid w:val="00D21217"/>
    <w:rsid w:val="00D4476C"/>
    <w:rsid w:val="00DB490D"/>
    <w:rsid w:val="00E33C02"/>
    <w:rsid w:val="00E70F21"/>
    <w:rsid w:val="00EE2DE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85211"/>
  <w15:chartTrackingRefBased/>
  <w15:docId w15:val="{E669F77A-5C25-2940-8528-D812F38F0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883ACB"/>
    <w:pPr>
      <w:spacing w:before="100" w:beforeAutospacing="1" w:after="100" w:afterAutospacing="1"/>
    </w:pPr>
    <w:rPr>
      <w:rFonts w:ascii="Times New Roman" w:eastAsia="Times New Roman" w:hAnsi="Times New Roman" w:cs="Times New Roman"/>
      <w:lang w:eastAsia="it-IT"/>
    </w:rPr>
  </w:style>
  <w:style w:type="character" w:styleId="Enfasigrassetto">
    <w:name w:val="Strong"/>
    <w:basedOn w:val="Carpredefinitoparagrafo"/>
    <w:uiPriority w:val="22"/>
    <w:qFormat/>
    <w:rsid w:val="00883ACB"/>
    <w:rPr>
      <w:b/>
      <w:bCs/>
    </w:rPr>
  </w:style>
  <w:style w:type="character" w:customStyle="1" w:styleId="apple-converted-space">
    <w:name w:val="apple-converted-space"/>
    <w:basedOn w:val="Carpredefinitoparagrafo"/>
    <w:rsid w:val="00883ACB"/>
  </w:style>
  <w:style w:type="character" w:styleId="Collegamentoipertestuale">
    <w:name w:val="Hyperlink"/>
    <w:basedOn w:val="Carpredefinitoparagrafo"/>
    <w:uiPriority w:val="99"/>
    <w:unhideWhenUsed/>
    <w:rsid w:val="00883ACB"/>
    <w:rPr>
      <w:color w:val="0000FF"/>
      <w:u w:val="single"/>
    </w:rPr>
  </w:style>
  <w:style w:type="paragraph" w:styleId="Testonotaapidipagina">
    <w:name w:val="footnote text"/>
    <w:basedOn w:val="Normale"/>
    <w:link w:val="TestonotaapidipaginaCarattere"/>
    <w:uiPriority w:val="99"/>
    <w:semiHidden/>
    <w:unhideWhenUsed/>
    <w:rsid w:val="0015225C"/>
    <w:rPr>
      <w:sz w:val="20"/>
      <w:szCs w:val="20"/>
    </w:rPr>
  </w:style>
  <w:style w:type="character" w:customStyle="1" w:styleId="TestonotaapidipaginaCarattere">
    <w:name w:val="Testo nota a piè di pagina Carattere"/>
    <w:basedOn w:val="Carpredefinitoparagrafo"/>
    <w:link w:val="Testonotaapidipagina"/>
    <w:uiPriority w:val="99"/>
    <w:semiHidden/>
    <w:rsid w:val="0015225C"/>
    <w:rPr>
      <w:sz w:val="20"/>
      <w:szCs w:val="20"/>
    </w:rPr>
  </w:style>
  <w:style w:type="character" w:styleId="Rimandonotaapidipagina">
    <w:name w:val="footnote reference"/>
    <w:basedOn w:val="Carpredefinitoparagrafo"/>
    <w:uiPriority w:val="99"/>
    <w:semiHidden/>
    <w:unhideWhenUsed/>
    <w:rsid w:val="0015225C"/>
    <w:rPr>
      <w:vertAlign w:val="superscript"/>
    </w:rPr>
  </w:style>
  <w:style w:type="character" w:styleId="Enfasicorsivo">
    <w:name w:val="Emphasis"/>
    <w:basedOn w:val="Carpredefinitoparagrafo"/>
    <w:uiPriority w:val="20"/>
    <w:qFormat/>
    <w:rsid w:val="0015225C"/>
    <w:rPr>
      <w:i/>
      <w:iCs/>
    </w:rPr>
  </w:style>
  <w:style w:type="character" w:styleId="Menzionenonrisolta">
    <w:name w:val="Unresolved Mention"/>
    <w:basedOn w:val="Carpredefinitoparagrafo"/>
    <w:uiPriority w:val="99"/>
    <w:semiHidden/>
    <w:unhideWhenUsed/>
    <w:rsid w:val="005957CA"/>
    <w:rPr>
      <w:color w:val="605E5C"/>
      <w:shd w:val="clear" w:color="auto" w:fill="E1DFDD"/>
    </w:rPr>
  </w:style>
  <w:style w:type="character" w:styleId="Collegamentovisitato">
    <w:name w:val="FollowedHyperlink"/>
    <w:basedOn w:val="Carpredefinitoparagrafo"/>
    <w:uiPriority w:val="99"/>
    <w:semiHidden/>
    <w:unhideWhenUsed/>
    <w:rsid w:val="007C5253"/>
    <w:rPr>
      <w:color w:val="954F72" w:themeColor="followedHyperlink"/>
      <w:u w:val="single"/>
    </w:rPr>
  </w:style>
  <w:style w:type="paragraph" w:styleId="Testofumetto">
    <w:name w:val="Balloon Text"/>
    <w:basedOn w:val="Normale"/>
    <w:link w:val="TestofumettoCarattere"/>
    <w:uiPriority w:val="99"/>
    <w:semiHidden/>
    <w:unhideWhenUsed/>
    <w:rsid w:val="00E33C02"/>
    <w:rPr>
      <w:rFonts w:ascii="Times New Roman" w:hAnsi="Times New Roman" w:cs="Times New Roman"/>
      <w:sz w:val="18"/>
      <w:szCs w:val="18"/>
    </w:rPr>
  </w:style>
  <w:style w:type="character" w:customStyle="1" w:styleId="TestofumettoCarattere">
    <w:name w:val="Testo fumetto Carattere"/>
    <w:basedOn w:val="Carpredefinitoparagrafo"/>
    <w:link w:val="Testofumetto"/>
    <w:uiPriority w:val="99"/>
    <w:semiHidden/>
    <w:rsid w:val="00E33C02"/>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989447">
      <w:bodyDiv w:val="1"/>
      <w:marLeft w:val="0"/>
      <w:marRight w:val="0"/>
      <w:marTop w:val="0"/>
      <w:marBottom w:val="0"/>
      <w:divBdr>
        <w:top w:val="none" w:sz="0" w:space="0" w:color="auto"/>
        <w:left w:val="none" w:sz="0" w:space="0" w:color="auto"/>
        <w:bottom w:val="none" w:sz="0" w:space="0" w:color="auto"/>
        <w:right w:val="none" w:sz="0" w:space="0" w:color="auto"/>
      </w:divBdr>
      <w:divsChild>
        <w:div w:id="2310108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7730527">
      <w:bodyDiv w:val="1"/>
      <w:marLeft w:val="0"/>
      <w:marRight w:val="0"/>
      <w:marTop w:val="0"/>
      <w:marBottom w:val="0"/>
      <w:divBdr>
        <w:top w:val="none" w:sz="0" w:space="0" w:color="auto"/>
        <w:left w:val="none" w:sz="0" w:space="0" w:color="auto"/>
        <w:bottom w:val="none" w:sz="0" w:space="0" w:color="auto"/>
        <w:right w:val="none" w:sz="0" w:space="0" w:color="auto"/>
      </w:divBdr>
      <w:divsChild>
        <w:div w:id="1386175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61162432">
              <w:blockQuote w:val="1"/>
              <w:marLeft w:val="720"/>
              <w:marRight w:val="720"/>
              <w:marTop w:val="100"/>
              <w:marBottom w:val="100"/>
              <w:divBdr>
                <w:top w:val="none" w:sz="0" w:space="0" w:color="auto"/>
                <w:left w:val="none" w:sz="0" w:space="0" w:color="auto"/>
                <w:bottom w:val="none" w:sz="0" w:space="0" w:color="auto"/>
                <w:right w:val="none" w:sz="0" w:space="0" w:color="auto"/>
              </w:divBdr>
            </w:div>
            <w:div w:id="1329289394">
              <w:blockQuote w:val="1"/>
              <w:marLeft w:val="720"/>
              <w:marRight w:val="720"/>
              <w:marTop w:val="100"/>
              <w:marBottom w:val="100"/>
              <w:divBdr>
                <w:top w:val="none" w:sz="0" w:space="0" w:color="auto"/>
                <w:left w:val="none" w:sz="0" w:space="0" w:color="auto"/>
                <w:bottom w:val="none" w:sz="0" w:space="0" w:color="auto"/>
                <w:right w:val="none" w:sz="0" w:space="0" w:color="auto"/>
              </w:divBdr>
            </w:div>
            <w:div w:id="1169170666">
              <w:blockQuote w:val="1"/>
              <w:marLeft w:val="720"/>
              <w:marRight w:val="720"/>
              <w:marTop w:val="100"/>
              <w:marBottom w:val="100"/>
              <w:divBdr>
                <w:top w:val="none" w:sz="0" w:space="0" w:color="auto"/>
                <w:left w:val="none" w:sz="0" w:space="0" w:color="auto"/>
                <w:bottom w:val="none" w:sz="0" w:space="0" w:color="auto"/>
                <w:right w:val="none" w:sz="0" w:space="0" w:color="auto"/>
              </w:divBdr>
            </w:div>
            <w:div w:id="1436629576">
              <w:blockQuote w:val="1"/>
              <w:marLeft w:val="720"/>
              <w:marRight w:val="720"/>
              <w:marTop w:val="100"/>
              <w:marBottom w:val="100"/>
              <w:divBdr>
                <w:top w:val="none" w:sz="0" w:space="0" w:color="auto"/>
                <w:left w:val="none" w:sz="0" w:space="0" w:color="auto"/>
                <w:bottom w:val="none" w:sz="0" w:space="0" w:color="auto"/>
                <w:right w:val="none" w:sz="0" w:space="0" w:color="auto"/>
              </w:divBdr>
            </w:div>
            <w:div w:id="19749437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387257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84580198">
      <w:bodyDiv w:val="1"/>
      <w:marLeft w:val="0"/>
      <w:marRight w:val="0"/>
      <w:marTop w:val="0"/>
      <w:marBottom w:val="0"/>
      <w:divBdr>
        <w:top w:val="none" w:sz="0" w:space="0" w:color="auto"/>
        <w:left w:val="none" w:sz="0" w:space="0" w:color="auto"/>
        <w:bottom w:val="none" w:sz="0" w:space="0" w:color="auto"/>
        <w:right w:val="none" w:sz="0" w:space="0" w:color="auto"/>
      </w:divBdr>
    </w:div>
    <w:div w:id="476578640">
      <w:bodyDiv w:val="1"/>
      <w:marLeft w:val="0"/>
      <w:marRight w:val="0"/>
      <w:marTop w:val="0"/>
      <w:marBottom w:val="0"/>
      <w:divBdr>
        <w:top w:val="none" w:sz="0" w:space="0" w:color="auto"/>
        <w:left w:val="none" w:sz="0" w:space="0" w:color="auto"/>
        <w:bottom w:val="none" w:sz="0" w:space="0" w:color="auto"/>
        <w:right w:val="none" w:sz="0" w:space="0" w:color="auto"/>
      </w:divBdr>
      <w:divsChild>
        <w:div w:id="7875112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96596846">
      <w:bodyDiv w:val="1"/>
      <w:marLeft w:val="0"/>
      <w:marRight w:val="0"/>
      <w:marTop w:val="0"/>
      <w:marBottom w:val="0"/>
      <w:divBdr>
        <w:top w:val="none" w:sz="0" w:space="0" w:color="auto"/>
        <w:left w:val="none" w:sz="0" w:space="0" w:color="auto"/>
        <w:bottom w:val="none" w:sz="0" w:space="0" w:color="auto"/>
        <w:right w:val="none" w:sz="0" w:space="0" w:color="auto"/>
      </w:divBdr>
      <w:divsChild>
        <w:div w:id="520558810">
          <w:marLeft w:val="0"/>
          <w:marRight w:val="0"/>
          <w:marTop w:val="0"/>
          <w:marBottom w:val="420"/>
          <w:divBdr>
            <w:top w:val="none" w:sz="0" w:space="0" w:color="auto"/>
            <w:left w:val="none" w:sz="0" w:space="0" w:color="auto"/>
            <w:bottom w:val="none" w:sz="0" w:space="0" w:color="auto"/>
            <w:right w:val="none" w:sz="0" w:space="0" w:color="auto"/>
          </w:divBdr>
        </w:div>
        <w:div w:id="2137478829">
          <w:marLeft w:val="0"/>
          <w:marRight w:val="0"/>
          <w:marTop w:val="0"/>
          <w:marBottom w:val="420"/>
          <w:divBdr>
            <w:top w:val="none" w:sz="0" w:space="0" w:color="auto"/>
            <w:left w:val="none" w:sz="0" w:space="0" w:color="auto"/>
            <w:bottom w:val="none" w:sz="0" w:space="0" w:color="auto"/>
            <w:right w:val="none" w:sz="0" w:space="0" w:color="auto"/>
          </w:divBdr>
        </w:div>
        <w:div w:id="1326666765">
          <w:marLeft w:val="0"/>
          <w:marRight w:val="0"/>
          <w:marTop w:val="0"/>
          <w:marBottom w:val="420"/>
          <w:divBdr>
            <w:top w:val="none" w:sz="0" w:space="0" w:color="auto"/>
            <w:left w:val="none" w:sz="0" w:space="0" w:color="auto"/>
            <w:bottom w:val="none" w:sz="0" w:space="0" w:color="auto"/>
            <w:right w:val="none" w:sz="0" w:space="0" w:color="auto"/>
          </w:divBdr>
        </w:div>
        <w:div w:id="440338221">
          <w:marLeft w:val="0"/>
          <w:marRight w:val="0"/>
          <w:marTop w:val="0"/>
          <w:marBottom w:val="420"/>
          <w:divBdr>
            <w:top w:val="none" w:sz="0" w:space="0" w:color="auto"/>
            <w:left w:val="none" w:sz="0" w:space="0" w:color="auto"/>
            <w:bottom w:val="none" w:sz="0" w:space="0" w:color="auto"/>
            <w:right w:val="none" w:sz="0" w:space="0" w:color="auto"/>
          </w:divBdr>
        </w:div>
        <w:div w:id="1210341693">
          <w:marLeft w:val="0"/>
          <w:marRight w:val="0"/>
          <w:marTop w:val="0"/>
          <w:marBottom w:val="420"/>
          <w:divBdr>
            <w:top w:val="none" w:sz="0" w:space="0" w:color="auto"/>
            <w:left w:val="none" w:sz="0" w:space="0" w:color="auto"/>
            <w:bottom w:val="none" w:sz="0" w:space="0" w:color="auto"/>
            <w:right w:val="none" w:sz="0" w:space="0" w:color="auto"/>
          </w:divBdr>
        </w:div>
        <w:div w:id="180440477">
          <w:marLeft w:val="0"/>
          <w:marRight w:val="0"/>
          <w:marTop w:val="0"/>
          <w:marBottom w:val="420"/>
          <w:divBdr>
            <w:top w:val="none" w:sz="0" w:space="0" w:color="auto"/>
            <w:left w:val="none" w:sz="0" w:space="0" w:color="auto"/>
            <w:bottom w:val="none" w:sz="0" w:space="0" w:color="auto"/>
            <w:right w:val="none" w:sz="0" w:space="0" w:color="auto"/>
          </w:divBdr>
        </w:div>
        <w:div w:id="362825793">
          <w:marLeft w:val="0"/>
          <w:marRight w:val="0"/>
          <w:marTop w:val="0"/>
          <w:marBottom w:val="420"/>
          <w:divBdr>
            <w:top w:val="none" w:sz="0" w:space="0" w:color="auto"/>
            <w:left w:val="none" w:sz="0" w:space="0" w:color="auto"/>
            <w:bottom w:val="none" w:sz="0" w:space="0" w:color="auto"/>
            <w:right w:val="none" w:sz="0" w:space="0" w:color="auto"/>
          </w:divBdr>
        </w:div>
        <w:div w:id="1991865981">
          <w:marLeft w:val="0"/>
          <w:marRight w:val="0"/>
          <w:marTop w:val="0"/>
          <w:marBottom w:val="420"/>
          <w:divBdr>
            <w:top w:val="none" w:sz="0" w:space="0" w:color="auto"/>
            <w:left w:val="none" w:sz="0" w:space="0" w:color="auto"/>
            <w:bottom w:val="none" w:sz="0" w:space="0" w:color="auto"/>
            <w:right w:val="none" w:sz="0" w:space="0" w:color="auto"/>
          </w:divBdr>
        </w:div>
        <w:div w:id="848718386">
          <w:marLeft w:val="0"/>
          <w:marRight w:val="0"/>
          <w:marTop w:val="0"/>
          <w:marBottom w:val="420"/>
          <w:divBdr>
            <w:top w:val="none" w:sz="0" w:space="0" w:color="auto"/>
            <w:left w:val="none" w:sz="0" w:space="0" w:color="auto"/>
            <w:bottom w:val="none" w:sz="0" w:space="0" w:color="auto"/>
            <w:right w:val="none" w:sz="0" w:space="0" w:color="auto"/>
          </w:divBdr>
        </w:div>
        <w:div w:id="888960222">
          <w:marLeft w:val="0"/>
          <w:marRight w:val="0"/>
          <w:marTop w:val="0"/>
          <w:marBottom w:val="420"/>
          <w:divBdr>
            <w:top w:val="none" w:sz="0" w:space="0" w:color="auto"/>
            <w:left w:val="none" w:sz="0" w:space="0" w:color="auto"/>
            <w:bottom w:val="none" w:sz="0" w:space="0" w:color="auto"/>
            <w:right w:val="none" w:sz="0" w:space="0" w:color="auto"/>
          </w:divBdr>
        </w:div>
        <w:div w:id="438568463">
          <w:marLeft w:val="0"/>
          <w:marRight w:val="0"/>
          <w:marTop w:val="0"/>
          <w:marBottom w:val="420"/>
          <w:divBdr>
            <w:top w:val="none" w:sz="0" w:space="0" w:color="auto"/>
            <w:left w:val="none" w:sz="0" w:space="0" w:color="auto"/>
            <w:bottom w:val="none" w:sz="0" w:space="0" w:color="auto"/>
            <w:right w:val="none" w:sz="0" w:space="0" w:color="auto"/>
          </w:divBdr>
        </w:div>
        <w:div w:id="1806195740">
          <w:marLeft w:val="0"/>
          <w:marRight w:val="0"/>
          <w:marTop w:val="0"/>
          <w:marBottom w:val="420"/>
          <w:divBdr>
            <w:top w:val="none" w:sz="0" w:space="0" w:color="auto"/>
            <w:left w:val="none" w:sz="0" w:space="0" w:color="auto"/>
            <w:bottom w:val="none" w:sz="0" w:space="0" w:color="auto"/>
            <w:right w:val="none" w:sz="0" w:space="0" w:color="auto"/>
          </w:divBdr>
        </w:div>
        <w:div w:id="1025330820">
          <w:marLeft w:val="0"/>
          <w:marRight w:val="0"/>
          <w:marTop w:val="0"/>
          <w:marBottom w:val="420"/>
          <w:divBdr>
            <w:top w:val="none" w:sz="0" w:space="0" w:color="auto"/>
            <w:left w:val="none" w:sz="0" w:space="0" w:color="auto"/>
            <w:bottom w:val="none" w:sz="0" w:space="0" w:color="auto"/>
            <w:right w:val="none" w:sz="0" w:space="0" w:color="auto"/>
          </w:divBdr>
        </w:div>
        <w:div w:id="972489880">
          <w:marLeft w:val="0"/>
          <w:marRight w:val="0"/>
          <w:marTop w:val="0"/>
          <w:marBottom w:val="420"/>
          <w:divBdr>
            <w:top w:val="none" w:sz="0" w:space="0" w:color="auto"/>
            <w:left w:val="none" w:sz="0" w:space="0" w:color="auto"/>
            <w:bottom w:val="none" w:sz="0" w:space="0" w:color="auto"/>
            <w:right w:val="none" w:sz="0" w:space="0" w:color="auto"/>
          </w:divBdr>
        </w:div>
        <w:div w:id="1010986092">
          <w:marLeft w:val="0"/>
          <w:marRight w:val="0"/>
          <w:marTop w:val="0"/>
          <w:marBottom w:val="420"/>
          <w:divBdr>
            <w:top w:val="none" w:sz="0" w:space="0" w:color="auto"/>
            <w:left w:val="none" w:sz="0" w:space="0" w:color="auto"/>
            <w:bottom w:val="none" w:sz="0" w:space="0" w:color="auto"/>
            <w:right w:val="none" w:sz="0" w:space="0" w:color="auto"/>
          </w:divBdr>
        </w:div>
      </w:divsChild>
    </w:div>
    <w:div w:id="662510546">
      <w:bodyDiv w:val="1"/>
      <w:marLeft w:val="0"/>
      <w:marRight w:val="0"/>
      <w:marTop w:val="0"/>
      <w:marBottom w:val="0"/>
      <w:divBdr>
        <w:top w:val="none" w:sz="0" w:space="0" w:color="auto"/>
        <w:left w:val="none" w:sz="0" w:space="0" w:color="auto"/>
        <w:bottom w:val="none" w:sz="0" w:space="0" w:color="auto"/>
        <w:right w:val="none" w:sz="0" w:space="0" w:color="auto"/>
      </w:divBdr>
    </w:div>
    <w:div w:id="686444474">
      <w:bodyDiv w:val="1"/>
      <w:marLeft w:val="0"/>
      <w:marRight w:val="0"/>
      <w:marTop w:val="0"/>
      <w:marBottom w:val="0"/>
      <w:divBdr>
        <w:top w:val="none" w:sz="0" w:space="0" w:color="auto"/>
        <w:left w:val="none" w:sz="0" w:space="0" w:color="auto"/>
        <w:bottom w:val="none" w:sz="0" w:space="0" w:color="auto"/>
        <w:right w:val="none" w:sz="0" w:space="0" w:color="auto"/>
      </w:divBdr>
    </w:div>
    <w:div w:id="704985286">
      <w:bodyDiv w:val="1"/>
      <w:marLeft w:val="0"/>
      <w:marRight w:val="0"/>
      <w:marTop w:val="0"/>
      <w:marBottom w:val="0"/>
      <w:divBdr>
        <w:top w:val="none" w:sz="0" w:space="0" w:color="auto"/>
        <w:left w:val="none" w:sz="0" w:space="0" w:color="auto"/>
        <w:bottom w:val="none" w:sz="0" w:space="0" w:color="auto"/>
        <w:right w:val="none" w:sz="0" w:space="0" w:color="auto"/>
      </w:divBdr>
    </w:div>
    <w:div w:id="758597595">
      <w:bodyDiv w:val="1"/>
      <w:marLeft w:val="0"/>
      <w:marRight w:val="0"/>
      <w:marTop w:val="0"/>
      <w:marBottom w:val="0"/>
      <w:divBdr>
        <w:top w:val="none" w:sz="0" w:space="0" w:color="auto"/>
        <w:left w:val="none" w:sz="0" w:space="0" w:color="auto"/>
        <w:bottom w:val="none" w:sz="0" w:space="0" w:color="auto"/>
        <w:right w:val="none" w:sz="0" w:space="0" w:color="auto"/>
      </w:divBdr>
      <w:divsChild>
        <w:div w:id="19685807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9714179">
              <w:blockQuote w:val="1"/>
              <w:marLeft w:val="720"/>
              <w:marRight w:val="720"/>
              <w:marTop w:val="100"/>
              <w:marBottom w:val="100"/>
              <w:divBdr>
                <w:top w:val="none" w:sz="0" w:space="0" w:color="auto"/>
                <w:left w:val="none" w:sz="0" w:space="0" w:color="auto"/>
                <w:bottom w:val="none" w:sz="0" w:space="0" w:color="auto"/>
                <w:right w:val="none" w:sz="0" w:space="0" w:color="auto"/>
              </w:divBdr>
            </w:div>
            <w:div w:id="351036397">
              <w:blockQuote w:val="1"/>
              <w:marLeft w:val="720"/>
              <w:marRight w:val="720"/>
              <w:marTop w:val="100"/>
              <w:marBottom w:val="100"/>
              <w:divBdr>
                <w:top w:val="none" w:sz="0" w:space="0" w:color="auto"/>
                <w:left w:val="none" w:sz="0" w:space="0" w:color="auto"/>
                <w:bottom w:val="none" w:sz="0" w:space="0" w:color="auto"/>
                <w:right w:val="none" w:sz="0" w:space="0" w:color="auto"/>
              </w:divBdr>
            </w:div>
            <w:div w:id="8042793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48264623">
          <w:blockQuote w:val="1"/>
          <w:marLeft w:val="720"/>
          <w:marRight w:val="720"/>
          <w:marTop w:val="100"/>
          <w:marBottom w:val="100"/>
          <w:divBdr>
            <w:top w:val="none" w:sz="0" w:space="0" w:color="auto"/>
            <w:left w:val="none" w:sz="0" w:space="0" w:color="auto"/>
            <w:bottom w:val="none" w:sz="0" w:space="0" w:color="auto"/>
            <w:right w:val="none" w:sz="0" w:space="0" w:color="auto"/>
          </w:divBdr>
        </w:div>
        <w:div w:id="18953870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47210521">
      <w:bodyDiv w:val="1"/>
      <w:marLeft w:val="0"/>
      <w:marRight w:val="0"/>
      <w:marTop w:val="0"/>
      <w:marBottom w:val="0"/>
      <w:divBdr>
        <w:top w:val="none" w:sz="0" w:space="0" w:color="auto"/>
        <w:left w:val="none" w:sz="0" w:space="0" w:color="auto"/>
        <w:bottom w:val="none" w:sz="0" w:space="0" w:color="auto"/>
        <w:right w:val="none" w:sz="0" w:space="0" w:color="auto"/>
      </w:divBdr>
      <w:divsChild>
        <w:div w:id="13625174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73874029">
      <w:bodyDiv w:val="1"/>
      <w:marLeft w:val="0"/>
      <w:marRight w:val="0"/>
      <w:marTop w:val="0"/>
      <w:marBottom w:val="0"/>
      <w:divBdr>
        <w:top w:val="none" w:sz="0" w:space="0" w:color="auto"/>
        <w:left w:val="none" w:sz="0" w:space="0" w:color="auto"/>
        <w:bottom w:val="none" w:sz="0" w:space="0" w:color="auto"/>
        <w:right w:val="none" w:sz="0" w:space="0" w:color="auto"/>
      </w:divBdr>
      <w:divsChild>
        <w:div w:id="13916159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5197966">
      <w:bodyDiv w:val="1"/>
      <w:marLeft w:val="0"/>
      <w:marRight w:val="0"/>
      <w:marTop w:val="0"/>
      <w:marBottom w:val="0"/>
      <w:divBdr>
        <w:top w:val="none" w:sz="0" w:space="0" w:color="auto"/>
        <w:left w:val="none" w:sz="0" w:space="0" w:color="auto"/>
        <w:bottom w:val="none" w:sz="0" w:space="0" w:color="auto"/>
        <w:right w:val="none" w:sz="0" w:space="0" w:color="auto"/>
      </w:divBdr>
      <w:divsChild>
        <w:div w:id="174131923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553406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177698841">
      <w:bodyDiv w:val="1"/>
      <w:marLeft w:val="0"/>
      <w:marRight w:val="0"/>
      <w:marTop w:val="0"/>
      <w:marBottom w:val="0"/>
      <w:divBdr>
        <w:top w:val="none" w:sz="0" w:space="0" w:color="auto"/>
        <w:left w:val="none" w:sz="0" w:space="0" w:color="auto"/>
        <w:bottom w:val="none" w:sz="0" w:space="0" w:color="auto"/>
        <w:right w:val="none" w:sz="0" w:space="0" w:color="auto"/>
      </w:divBdr>
    </w:div>
    <w:div w:id="1179389870">
      <w:bodyDiv w:val="1"/>
      <w:marLeft w:val="0"/>
      <w:marRight w:val="0"/>
      <w:marTop w:val="0"/>
      <w:marBottom w:val="0"/>
      <w:divBdr>
        <w:top w:val="none" w:sz="0" w:space="0" w:color="auto"/>
        <w:left w:val="none" w:sz="0" w:space="0" w:color="auto"/>
        <w:bottom w:val="none" w:sz="0" w:space="0" w:color="auto"/>
        <w:right w:val="none" w:sz="0" w:space="0" w:color="auto"/>
      </w:divBdr>
    </w:div>
    <w:div w:id="1232036950">
      <w:bodyDiv w:val="1"/>
      <w:marLeft w:val="0"/>
      <w:marRight w:val="0"/>
      <w:marTop w:val="0"/>
      <w:marBottom w:val="0"/>
      <w:divBdr>
        <w:top w:val="none" w:sz="0" w:space="0" w:color="auto"/>
        <w:left w:val="none" w:sz="0" w:space="0" w:color="auto"/>
        <w:bottom w:val="none" w:sz="0" w:space="0" w:color="auto"/>
        <w:right w:val="none" w:sz="0" w:space="0" w:color="auto"/>
      </w:divBdr>
      <w:divsChild>
        <w:div w:id="13275927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48039431">
      <w:bodyDiv w:val="1"/>
      <w:marLeft w:val="0"/>
      <w:marRight w:val="0"/>
      <w:marTop w:val="0"/>
      <w:marBottom w:val="0"/>
      <w:divBdr>
        <w:top w:val="none" w:sz="0" w:space="0" w:color="auto"/>
        <w:left w:val="none" w:sz="0" w:space="0" w:color="auto"/>
        <w:bottom w:val="none" w:sz="0" w:space="0" w:color="auto"/>
        <w:right w:val="none" w:sz="0" w:space="0" w:color="auto"/>
      </w:divBdr>
    </w:div>
    <w:div w:id="1467697742">
      <w:bodyDiv w:val="1"/>
      <w:marLeft w:val="0"/>
      <w:marRight w:val="0"/>
      <w:marTop w:val="0"/>
      <w:marBottom w:val="0"/>
      <w:divBdr>
        <w:top w:val="none" w:sz="0" w:space="0" w:color="auto"/>
        <w:left w:val="none" w:sz="0" w:space="0" w:color="auto"/>
        <w:bottom w:val="none" w:sz="0" w:space="0" w:color="auto"/>
        <w:right w:val="none" w:sz="0" w:space="0" w:color="auto"/>
      </w:divBdr>
      <w:divsChild>
        <w:div w:id="1766416331">
          <w:blockQuote w:val="1"/>
          <w:marLeft w:val="720"/>
          <w:marRight w:val="720"/>
          <w:marTop w:val="100"/>
          <w:marBottom w:val="100"/>
          <w:divBdr>
            <w:top w:val="none" w:sz="0" w:space="0" w:color="auto"/>
            <w:left w:val="none" w:sz="0" w:space="0" w:color="auto"/>
            <w:bottom w:val="none" w:sz="0" w:space="0" w:color="auto"/>
            <w:right w:val="none" w:sz="0" w:space="0" w:color="auto"/>
          </w:divBdr>
        </w:div>
        <w:div w:id="144204199">
          <w:blockQuote w:val="1"/>
          <w:marLeft w:val="720"/>
          <w:marRight w:val="720"/>
          <w:marTop w:val="100"/>
          <w:marBottom w:val="100"/>
          <w:divBdr>
            <w:top w:val="none" w:sz="0" w:space="0" w:color="auto"/>
            <w:left w:val="none" w:sz="0" w:space="0" w:color="auto"/>
            <w:bottom w:val="none" w:sz="0" w:space="0" w:color="auto"/>
            <w:right w:val="none" w:sz="0" w:space="0" w:color="auto"/>
          </w:divBdr>
        </w:div>
        <w:div w:id="17772149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6177844">
      <w:bodyDiv w:val="1"/>
      <w:marLeft w:val="0"/>
      <w:marRight w:val="0"/>
      <w:marTop w:val="0"/>
      <w:marBottom w:val="0"/>
      <w:divBdr>
        <w:top w:val="none" w:sz="0" w:space="0" w:color="auto"/>
        <w:left w:val="none" w:sz="0" w:space="0" w:color="auto"/>
        <w:bottom w:val="none" w:sz="0" w:space="0" w:color="auto"/>
        <w:right w:val="none" w:sz="0" w:space="0" w:color="auto"/>
      </w:divBdr>
    </w:div>
    <w:div w:id="1725984563">
      <w:bodyDiv w:val="1"/>
      <w:marLeft w:val="0"/>
      <w:marRight w:val="0"/>
      <w:marTop w:val="0"/>
      <w:marBottom w:val="0"/>
      <w:divBdr>
        <w:top w:val="none" w:sz="0" w:space="0" w:color="auto"/>
        <w:left w:val="none" w:sz="0" w:space="0" w:color="auto"/>
        <w:bottom w:val="none" w:sz="0" w:space="0" w:color="auto"/>
        <w:right w:val="none" w:sz="0" w:space="0" w:color="auto"/>
      </w:divBdr>
      <w:divsChild>
        <w:div w:id="20386538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3353389">
      <w:bodyDiv w:val="1"/>
      <w:marLeft w:val="0"/>
      <w:marRight w:val="0"/>
      <w:marTop w:val="0"/>
      <w:marBottom w:val="0"/>
      <w:divBdr>
        <w:top w:val="none" w:sz="0" w:space="0" w:color="auto"/>
        <w:left w:val="none" w:sz="0" w:space="0" w:color="auto"/>
        <w:bottom w:val="none" w:sz="0" w:space="0" w:color="auto"/>
        <w:right w:val="none" w:sz="0" w:space="0" w:color="auto"/>
      </w:divBdr>
    </w:div>
    <w:div w:id="1761634448">
      <w:bodyDiv w:val="1"/>
      <w:marLeft w:val="0"/>
      <w:marRight w:val="0"/>
      <w:marTop w:val="0"/>
      <w:marBottom w:val="0"/>
      <w:divBdr>
        <w:top w:val="none" w:sz="0" w:space="0" w:color="auto"/>
        <w:left w:val="none" w:sz="0" w:space="0" w:color="auto"/>
        <w:bottom w:val="none" w:sz="0" w:space="0" w:color="auto"/>
        <w:right w:val="none" w:sz="0" w:space="0" w:color="auto"/>
      </w:divBdr>
      <w:divsChild>
        <w:div w:id="14550593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3578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osettiegatti.eu/info/norme/statali/2001_0380.htm" TargetMode="External"/><Relationship Id="rId18" Type="http://schemas.openxmlformats.org/officeDocument/2006/relationships/hyperlink" Target="https://www.bosettiegatti.eu/info/norme/statali/2001_0380.htm" TargetMode="External"/><Relationship Id="rId26" Type="http://schemas.openxmlformats.org/officeDocument/2006/relationships/hyperlink" Target="https://www.bosettiegatti.eu/info/norme/statali/1968_1444.htm" TargetMode="External"/><Relationship Id="rId39" Type="http://schemas.openxmlformats.org/officeDocument/2006/relationships/hyperlink" Target="https://www.bosettiegatti.eu/info/norme/statali/1990_0241.htm" TargetMode="External"/><Relationship Id="rId21" Type="http://schemas.openxmlformats.org/officeDocument/2006/relationships/hyperlink" Target="https://www.bosettiegatti.eu/info/norme/statali/2001_0380.htm" TargetMode="External"/><Relationship Id="rId34" Type="http://schemas.openxmlformats.org/officeDocument/2006/relationships/hyperlink" Target="https://www.bosettiegatti.eu/info/norme/statali/2004_0042.htm" TargetMode="External"/><Relationship Id="rId42" Type="http://schemas.openxmlformats.org/officeDocument/2006/relationships/hyperlink" Target="https://www.bosettiegatti.eu/info/norme/statali/2005_0246.htm" TargetMode="External"/><Relationship Id="rId7" Type="http://schemas.openxmlformats.org/officeDocument/2006/relationships/hyperlink" Target="https://www.bosettiegatti.eu/info/norme/statali/2001_0380.htm" TargetMode="External"/><Relationship Id="rId2" Type="http://schemas.openxmlformats.org/officeDocument/2006/relationships/styles" Target="styles.xml"/><Relationship Id="rId16" Type="http://schemas.openxmlformats.org/officeDocument/2006/relationships/hyperlink" Target="https://www.bosettiegatti.eu/info/norme/statali/2001_0380.htm" TargetMode="External"/><Relationship Id="rId29" Type="http://schemas.openxmlformats.org/officeDocument/2006/relationships/hyperlink" Target="https://www.bosettiegatti.eu/info/norme/statali/1989_0013.ht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osettiegatti.eu/info/norme/statali/2004_0042.htm" TargetMode="External"/><Relationship Id="rId24" Type="http://schemas.openxmlformats.org/officeDocument/2006/relationships/hyperlink" Target="https://www.bosettiegatti.eu/info/norme/statali/2001_0380.htm" TargetMode="External"/><Relationship Id="rId32" Type="http://schemas.openxmlformats.org/officeDocument/2006/relationships/hyperlink" Target="https://www.bosettiegatti.eu/info/norme/statali/2001_0380.htm" TargetMode="External"/><Relationship Id="rId37" Type="http://schemas.openxmlformats.org/officeDocument/2006/relationships/hyperlink" Target="https://www.bosettiegatti.eu/info/norme/statali/2004_0042.htm" TargetMode="External"/><Relationship Id="rId40" Type="http://schemas.openxmlformats.org/officeDocument/2006/relationships/hyperlink" Target="https://www.bosettiegatti.eu/info/norme/statali/1990_0241.htm"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bosettiegatti.eu/info/norme/statali/2004_0042.htm" TargetMode="External"/><Relationship Id="rId23" Type="http://schemas.openxmlformats.org/officeDocument/2006/relationships/hyperlink" Target="https://www.bosettiegatti.eu/info/norme/statali/2001_0380.htm" TargetMode="External"/><Relationship Id="rId28" Type="http://schemas.openxmlformats.org/officeDocument/2006/relationships/hyperlink" Target="https://www.bosettiegatti.eu/info/norme/statali/codicecivile.htm" TargetMode="External"/><Relationship Id="rId36" Type="http://schemas.openxmlformats.org/officeDocument/2006/relationships/hyperlink" Target="https://www.bosettiegatti.eu/info/norme/statali/2004_0042.htm" TargetMode="External"/><Relationship Id="rId10" Type="http://schemas.openxmlformats.org/officeDocument/2006/relationships/hyperlink" Target="https://www.bosettiegatti.eu/info/norme/statali/2004_0042.htm" TargetMode="External"/><Relationship Id="rId19" Type="http://schemas.openxmlformats.org/officeDocument/2006/relationships/hyperlink" Target="https://www.bosettiegatti.eu/info/norme/statali/2001_0380.htm" TargetMode="External"/><Relationship Id="rId31" Type="http://schemas.openxmlformats.org/officeDocument/2006/relationships/hyperlink" Target="https://www.bosettiegatti.eu/info/norme/statali/codicecivile.htm" TargetMode="External"/><Relationship Id="rId44" Type="http://schemas.openxmlformats.org/officeDocument/2006/relationships/hyperlink" Target="https://www.bosettiegatti.eu/info/norme/statali/2005_0246.htm" TargetMode="External"/><Relationship Id="rId4" Type="http://schemas.openxmlformats.org/officeDocument/2006/relationships/webSettings" Target="webSettings.xml"/><Relationship Id="rId9" Type="http://schemas.openxmlformats.org/officeDocument/2006/relationships/hyperlink" Target="https://www.bosettiegatti.eu/info/norme/statali/2001_0380.htm" TargetMode="External"/><Relationship Id="rId14" Type="http://schemas.openxmlformats.org/officeDocument/2006/relationships/hyperlink" Target="https://www.bosettiegatti.eu/info/norme/statali/2001_0380.htm" TargetMode="External"/><Relationship Id="rId22" Type="http://schemas.openxmlformats.org/officeDocument/2006/relationships/hyperlink" Target="https://www.bosettiegatti.eu/info/norme/statali/2001_0380.htm" TargetMode="External"/><Relationship Id="rId27" Type="http://schemas.openxmlformats.org/officeDocument/2006/relationships/hyperlink" Target="https://www.bosettiegatti.eu/info/norme/statali/1989_0013.htm" TargetMode="External"/><Relationship Id="rId30" Type="http://schemas.openxmlformats.org/officeDocument/2006/relationships/hyperlink" Target="https://www.bosettiegatti.eu/info/norme/statali/codicecivile.htm" TargetMode="External"/><Relationship Id="rId35" Type="http://schemas.openxmlformats.org/officeDocument/2006/relationships/hyperlink" Target="https://www.bosettiegatti.eu/info/norme/statali/2004_0042.htm" TargetMode="External"/><Relationship Id="rId43" Type="http://schemas.openxmlformats.org/officeDocument/2006/relationships/hyperlink" Target="https://www.bosettiegatti.eu/info/norme/statali/2011_0180.htm" TargetMode="External"/><Relationship Id="rId8" Type="http://schemas.openxmlformats.org/officeDocument/2006/relationships/hyperlink" Target="https://www.bosettiegatti.eu/info/norme/statali/2001_0380.htm" TargetMode="External"/><Relationship Id="rId3" Type="http://schemas.openxmlformats.org/officeDocument/2006/relationships/settings" Target="settings.xml"/><Relationship Id="rId12" Type="http://schemas.openxmlformats.org/officeDocument/2006/relationships/hyperlink" Target="https://www.bosettiegatti.eu/info/norme/statali/2001_0380.htm" TargetMode="External"/><Relationship Id="rId17" Type="http://schemas.openxmlformats.org/officeDocument/2006/relationships/hyperlink" Target="https://www.bosettiegatti.eu/info/norme/statali/2001_0380.htm" TargetMode="External"/><Relationship Id="rId25" Type="http://schemas.openxmlformats.org/officeDocument/2006/relationships/hyperlink" Target="https://www.bosettiegatti.eu/info/norme/statali/1975_dm_05_07.htm" TargetMode="External"/><Relationship Id="rId33" Type="http://schemas.openxmlformats.org/officeDocument/2006/relationships/hyperlink" Target="https://www.bosettiegatti.eu/info/norme/statali/2001_0380.htm" TargetMode="External"/><Relationship Id="rId38" Type="http://schemas.openxmlformats.org/officeDocument/2006/relationships/hyperlink" Target="https://www.bosettiegatti.eu/info/norme/statali/2020_0040.pdf" TargetMode="External"/><Relationship Id="rId46" Type="http://schemas.openxmlformats.org/officeDocument/2006/relationships/theme" Target="theme/theme1.xml"/><Relationship Id="rId20" Type="http://schemas.openxmlformats.org/officeDocument/2006/relationships/hyperlink" Target="https://www.bosettiegatti.eu/info/norme/statali/2001_0380.htm" TargetMode="External"/><Relationship Id="rId41" Type="http://schemas.openxmlformats.org/officeDocument/2006/relationships/hyperlink" Target="https://www.bosettiegatti.eu/info/norme/statali/2011_0180.htm" TargetMode="External"/></Relationships>
</file>

<file path=word/_rels/footnotes.xml.rels><?xml version="1.0" encoding="UTF-8" standalone="yes"?>
<Relationships xmlns="http://schemas.openxmlformats.org/package/2006/relationships"><Relationship Id="rId26" Type="http://schemas.openxmlformats.org/officeDocument/2006/relationships/hyperlink" Target="https://www.bosettiegatti.eu/info/norme/statali/2004_0042.htm" TargetMode="External"/><Relationship Id="rId21" Type="http://schemas.openxmlformats.org/officeDocument/2006/relationships/hyperlink" Target="https://www.bosettiegatti.eu/info/norme/statali/2020_0076_DL.htm" TargetMode="External"/><Relationship Id="rId42" Type="http://schemas.openxmlformats.org/officeDocument/2006/relationships/hyperlink" Target="https://www.bosettiegatti.eu/info/norme/statali/2015_0221.htm" TargetMode="External"/><Relationship Id="rId47" Type="http://schemas.openxmlformats.org/officeDocument/2006/relationships/hyperlink" Target="https://www.bosettiegatti.eu/info/norme/statali/2014_0164.htm" TargetMode="External"/><Relationship Id="rId63" Type="http://schemas.openxmlformats.org/officeDocument/2006/relationships/hyperlink" Target="https://www.bosettiegatti.eu/info/norme/statali/1990_0241.htm" TargetMode="External"/><Relationship Id="rId68" Type="http://schemas.openxmlformats.org/officeDocument/2006/relationships/hyperlink" Target="https://www.bosettiegatti.eu/info/norme/statali/2014_0164.htm" TargetMode="External"/><Relationship Id="rId16" Type="http://schemas.openxmlformats.org/officeDocument/2006/relationships/hyperlink" Target="https://www.bosettiegatti.eu/info/norme/statali/2016_0222.htm" TargetMode="External"/><Relationship Id="rId11" Type="http://schemas.openxmlformats.org/officeDocument/2006/relationships/hyperlink" Target="https://www.bosettiegatti.eu/info/norme/statali/2004_0042.htm" TargetMode="External"/><Relationship Id="rId24" Type="http://schemas.openxmlformats.org/officeDocument/2006/relationships/hyperlink" Target="https://www.bosettiegatti.eu/info/norme/statali/2004_0042.htm" TargetMode="External"/><Relationship Id="rId32" Type="http://schemas.openxmlformats.org/officeDocument/2006/relationships/hyperlink" Target="https://www.bosettiegatti.eu/info/norme/statali/1968_1444.htm" TargetMode="External"/><Relationship Id="rId37" Type="http://schemas.openxmlformats.org/officeDocument/2006/relationships/hyperlink" Target="https://www.bosettiegatti.eu/info/norme/statali/2014_0164.htm" TargetMode="External"/><Relationship Id="rId40" Type="http://schemas.openxmlformats.org/officeDocument/2006/relationships/hyperlink" Target="https://www.bosettiegatti.eu/info/norme/statali/2004_0099.htm" TargetMode="External"/><Relationship Id="rId45" Type="http://schemas.openxmlformats.org/officeDocument/2006/relationships/hyperlink" Target="https://www.bosettiegatti.eu/info/norme/statali/2001_0380.htm" TargetMode="External"/><Relationship Id="rId53" Type="http://schemas.openxmlformats.org/officeDocument/2006/relationships/hyperlink" Target="https://www.bosettiegatti.eu/info/norme/statali/1990_0241.htm" TargetMode="External"/><Relationship Id="rId58" Type="http://schemas.openxmlformats.org/officeDocument/2006/relationships/hyperlink" Target="https://www.bosettiegatti.eu/info/norme/statali/2014_0164.htm" TargetMode="External"/><Relationship Id="rId66" Type="http://schemas.openxmlformats.org/officeDocument/2006/relationships/hyperlink" Target="https://www.bosettiegatti.eu/info/norme/statali/2020_0076_DL.htm" TargetMode="External"/><Relationship Id="rId74" Type="http://schemas.openxmlformats.org/officeDocument/2006/relationships/hyperlink" Target="https://www.bosettiegatti.eu/info/norme/statali/1990_0241.htm" TargetMode="External"/><Relationship Id="rId5" Type="http://schemas.openxmlformats.org/officeDocument/2006/relationships/hyperlink" Target="https://www.bosettiegatti.eu/info/norme/statali/2020_0076_DL.htm" TargetMode="External"/><Relationship Id="rId61" Type="http://schemas.openxmlformats.org/officeDocument/2006/relationships/hyperlink" Target="https://www.bosettiegatti.eu/info/norme/statali/2020_0076_DL.htm" TargetMode="External"/><Relationship Id="rId19" Type="http://schemas.openxmlformats.org/officeDocument/2006/relationships/hyperlink" Target="https://www.bosettiegatti.eu/info/norme/statali/1968_1444.htm" TargetMode="External"/><Relationship Id="rId14" Type="http://schemas.openxmlformats.org/officeDocument/2006/relationships/hyperlink" Target="https://www.bosettiegatti.eu/info/norme/statali/2001_0380.htm" TargetMode="External"/><Relationship Id="rId22" Type="http://schemas.openxmlformats.org/officeDocument/2006/relationships/hyperlink" Target="https://www.bosettiegatti.eu/info/norme/statali/2004_0042.htm" TargetMode="External"/><Relationship Id="rId27" Type="http://schemas.openxmlformats.org/officeDocument/2006/relationships/hyperlink" Target="https://www.bosettiegatti.eu/info/norme/statali/2011_0214.htm" TargetMode="External"/><Relationship Id="rId30" Type="http://schemas.openxmlformats.org/officeDocument/2006/relationships/hyperlink" Target="https://www.bosettiegatti.eu/info/norme/statali/2020_0076_DL.htm" TargetMode="External"/><Relationship Id="rId35" Type="http://schemas.openxmlformats.org/officeDocument/2006/relationships/hyperlink" Target="https://www.bosettiegatti.eu/info/norme/statali/1942_1150.htm" TargetMode="External"/><Relationship Id="rId43" Type="http://schemas.openxmlformats.org/officeDocument/2006/relationships/hyperlink" Target="https://www.bosettiegatti.eu/info/norme/statali/2001_0380.htm" TargetMode="External"/><Relationship Id="rId48" Type="http://schemas.openxmlformats.org/officeDocument/2006/relationships/hyperlink" Target="https://www.bosettiegatti.eu/info/norme/statali/2020_0076_DL.htm" TargetMode="External"/><Relationship Id="rId56" Type="http://schemas.openxmlformats.org/officeDocument/2006/relationships/hyperlink" Target="https://www.bosettiegatti.eu/info/norme/statali/1990_0241.htm" TargetMode="External"/><Relationship Id="rId64" Type="http://schemas.openxmlformats.org/officeDocument/2006/relationships/hyperlink" Target="https://www.bosettiegatti.eu/info/norme/statali/2016_0222.htm" TargetMode="External"/><Relationship Id="rId69" Type="http://schemas.openxmlformats.org/officeDocument/2006/relationships/hyperlink" Target="https://www.bosettiegatti.eu/info/norme/statali/2001_0380.htm" TargetMode="External"/><Relationship Id="rId77" Type="http://schemas.openxmlformats.org/officeDocument/2006/relationships/hyperlink" Target="https://www.bosettiegatti.eu/info/norme/statali/2001_0380.htm" TargetMode="External"/><Relationship Id="rId8" Type="http://schemas.openxmlformats.org/officeDocument/2006/relationships/hyperlink" Target="https://www.bosettiegatti.eu/info/norme/statali/2020_0076_DL.htm" TargetMode="External"/><Relationship Id="rId51" Type="http://schemas.openxmlformats.org/officeDocument/2006/relationships/hyperlink" Target="https://www.bosettiegatti.eu/info/norme/statali/2016_0222.htm" TargetMode="External"/><Relationship Id="rId72" Type="http://schemas.openxmlformats.org/officeDocument/2006/relationships/hyperlink" Target="https://www.bosettiegatti.eu/info/norme/statali/2001_0380.htm" TargetMode="External"/><Relationship Id="rId3" Type="http://schemas.openxmlformats.org/officeDocument/2006/relationships/hyperlink" Target="https://www.bosettiegatti.eu/info/norme/statali/2020_0076_DL.htm" TargetMode="External"/><Relationship Id="rId12" Type="http://schemas.openxmlformats.org/officeDocument/2006/relationships/hyperlink" Target="https://www.bosettiegatti.eu/info/norme/statali/2004_0042.htm" TargetMode="External"/><Relationship Id="rId17" Type="http://schemas.openxmlformats.org/officeDocument/2006/relationships/hyperlink" Target="https://www.bosettiegatti.eu/info/norme/statali/2016_0222.htm" TargetMode="External"/><Relationship Id="rId25" Type="http://schemas.openxmlformats.org/officeDocument/2006/relationships/hyperlink" Target="https://www.bosettiegatti.eu/info/norme/statali/2020_0076_DL.htm" TargetMode="External"/><Relationship Id="rId33" Type="http://schemas.openxmlformats.org/officeDocument/2006/relationships/hyperlink" Target="https://www.bosettiegatti.eu/info/norme/statali/2014_0164.htm" TargetMode="External"/><Relationship Id="rId38" Type="http://schemas.openxmlformats.org/officeDocument/2006/relationships/hyperlink" Target="https://www.bosettiegatti.eu/info/norme/statali/2014_0164.htm" TargetMode="External"/><Relationship Id="rId46" Type="http://schemas.openxmlformats.org/officeDocument/2006/relationships/hyperlink" Target="https://www.bosettiegatti.eu/info/norme/statali/2014_0164.htm" TargetMode="External"/><Relationship Id="rId59" Type="http://schemas.openxmlformats.org/officeDocument/2006/relationships/hyperlink" Target="https://www.bosettiegatti.eu/info/norme/statali/1990_0241.htm" TargetMode="External"/><Relationship Id="rId67" Type="http://schemas.openxmlformats.org/officeDocument/2006/relationships/hyperlink" Target="https://www.bosettiegatti.eu/info/norme/statali/2001_0380.htm" TargetMode="External"/><Relationship Id="rId20" Type="http://schemas.openxmlformats.org/officeDocument/2006/relationships/hyperlink" Target="https://www.bosettiegatti.eu/info/norme/statali/2016_0222.htm" TargetMode="External"/><Relationship Id="rId41" Type="http://schemas.openxmlformats.org/officeDocument/2006/relationships/hyperlink" Target="https://www.bosettiegatti.eu/info/norme/statali/codicecivile.htm" TargetMode="External"/><Relationship Id="rId54" Type="http://schemas.openxmlformats.org/officeDocument/2006/relationships/hyperlink" Target="https://www.bosettiegatti.eu/info/norme/statali/2016_0127.htm" TargetMode="External"/><Relationship Id="rId62" Type="http://schemas.openxmlformats.org/officeDocument/2006/relationships/hyperlink" Target="https://www.bosettiegatti.eu/info/norme/statali/2001_0380.htm" TargetMode="External"/><Relationship Id="rId70" Type="http://schemas.openxmlformats.org/officeDocument/2006/relationships/hyperlink" Target="https://www.bosettiegatti.eu/info/norme/statali/2016_0222.htm" TargetMode="External"/><Relationship Id="rId75" Type="http://schemas.openxmlformats.org/officeDocument/2006/relationships/hyperlink" Target="https://www.bosettiegatti.eu/info/norme/statali/2001_0380.htm" TargetMode="External"/><Relationship Id="rId1" Type="http://schemas.openxmlformats.org/officeDocument/2006/relationships/hyperlink" Target="https://www.bosettiegatti.eu/info/norme/statali/1968_1444.htm" TargetMode="External"/><Relationship Id="rId6" Type="http://schemas.openxmlformats.org/officeDocument/2006/relationships/hyperlink" Target="https://www.bosettiegatti.eu/info/norme/statali/2004_0042.htm" TargetMode="External"/><Relationship Id="rId15" Type="http://schemas.openxmlformats.org/officeDocument/2006/relationships/hyperlink" Target="https://www.bosettiegatti.eu/info/norme/statali/2016_0222.htm" TargetMode="External"/><Relationship Id="rId23" Type="http://schemas.openxmlformats.org/officeDocument/2006/relationships/hyperlink" Target="https://www.bosettiegatti.eu/info/norme/statali/2014_0164.htm" TargetMode="External"/><Relationship Id="rId28" Type="http://schemas.openxmlformats.org/officeDocument/2006/relationships/hyperlink" Target="https://www.bosettiegatti.eu/info/norme/statali/2014_0164.htm" TargetMode="External"/><Relationship Id="rId36" Type="http://schemas.openxmlformats.org/officeDocument/2006/relationships/hyperlink" Target="https://www.bosettiegatti.eu/info/norme/statali/2001_0380.htm" TargetMode="External"/><Relationship Id="rId49" Type="http://schemas.openxmlformats.org/officeDocument/2006/relationships/hyperlink" Target="https://www.bosettiegatti.eu/info/norme/statali/2001_0380.htm" TargetMode="External"/><Relationship Id="rId57" Type="http://schemas.openxmlformats.org/officeDocument/2006/relationships/hyperlink" Target="https://www.bosettiegatti.eu/info/norme/statali/2016_0127.htm" TargetMode="External"/><Relationship Id="rId10" Type="http://schemas.openxmlformats.org/officeDocument/2006/relationships/hyperlink" Target="https://www.bosettiegatti.eu/info/norme/statali/2015_0221.htm" TargetMode="External"/><Relationship Id="rId31" Type="http://schemas.openxmlformats.org/officeDocument/2006/relationships/hyperlink" Target="https://www.bosettiegatti.eu/info/norme/statali/1990_0241.htm" TargetMode="External"/><Relationship Id="rId44" Type="http://schemas.openxmlformats.org/officeDocument/2006/relationships/hyperlink" Target="https://www.bosettiegatti.eu/info/norme/statali/2004_0099.htm" TargetMode="External"/><Relationship Id="rId52" Type="http://schemas.openxmlformats.org/officeDocument/2006/relationships/hyperlink" Target="https://www.bosettiegatti.eu/info/norme/statali/1990_0241.htm" TargetMode="External"/><Relationship Id="rId60" Type="http://schemas.openxmlformats.org/officeDocument/2006/relationships/hyperlink" Target="https://www.bosettiegatti.eu/info/norme/statali/2016_0127.htm" TargetMode="External"/><Relationship Id="rId65" Type="http://schemas.openxmlformats.org/officeDocument/2006/relationships/hyperlink" Target="https://www.bosettiegatti.eu/info/norme/statali/2001_0380.htm" TargetMode="External"/><Relationship Id="rId73" Type="http://schemas.openxmlformats.org/officeDocument/2006/relationships/hyperlink" Target="https://www.bosettiegatti.eu/info/norme/statali/2001_0380.htm" TargetMode="External"/><Relationship Id="rId78" Type="http://schemas.openxmlformats.org/officeDocument/2006/relationships/hyperlink" Target="https://www.bosettiegatti.eu/info/norme/statali/2020_0076_DL.htm" TargetMode="External"/><Relationship Id="rId4" Type="http://schemas.openxmlformats.org/officeDocument/2006/relationships/hyperlink" Target="https://www.bosettiegatti.eu/info/norme/statali/2004_0042.htm" TargetMode="External"/><Relationship Id="rId9" Type="http://schemas.openxmlformats.org/officeDocument/2006/relationships/hyperlink" Target="https://www.bosettiegatti.eu/info/norme/statali/2003_0259.htm" TargetMode="External"/><Relationship Id="rId13" Type="http://schemas.openxmlformats.org/officeDocument/2006/relationships/hyperlink" Target="https://www.bosettiegatti.eu/info/norme/statali/2015_0221.htm" TargetMode="External"/><Relationship Id="rId18" Type="http://schemas.openxmlformats.org/officeDocument/2006/relationships/hyperlink" Target="https://www.bosettiegatti.eu/info/norme/statali/2020_0076_DL.htm" TargetMode="External"/><Relationship Id="rId39" Type="http://schemas.openxmlformats.org/officeDocument/2006/relationships/hyperlink" Target="https://www.bosettiegatti.eu/info/norme/statali/2020_0076_DL.htm" TargetMode="External"/><Relationship Id="rId34" Type="http://schemas.openxmlformats.org/officeDocument/2006/relationships/hyperlink" Target="https://www.bosettiegatti.eu/info/norme/statali/2020_0076_DL.htm" TargetMode="External"/><Relationship Id="rId50" Type="http://schemas.openxmlformats.org/officeDocument/2006/relationships/hyperlink" Target="https://www.bosettiegatti.eu/info/norme/statali/2016_0222.htm" TargetMode="External"/><Relationship Id="rId55" Type="http://schemas.openxmlformats.org/officeDocument/2006/relationships/hyperlink" Target="https://www.bosettiegatti.eu/info/norme/statali/1990_0241.htm" TargetMode="External"/><Relationship Id="rId76" Type="http://schemas.openxmlformats.org/officeDocument/2006/relationships/hyperlink" Target="https://www.bosettiegatti.eu/info/norme/statali/2020_0076_DL.htm" TargetMode="External"/><Relationship Id="rId7" Type="http://schemas.openxmlformats.org/officeDocument/2006/relationships/hyperlink" Target="https://www.bosettiegatti.eu/info/norme/statali/2004_0042.htm" TargetMode="External"/><Relationship Id="rId71" Type="http://schemas.openxmlformats.org/officeDocument/2006/relationships/hyperlink" Target="https://www.bosettiegatti.eu/info/norme/statali/2001_0380.htm" TargetMode="External"/><Relationship Id="rId2" Type="http://schemas.openxmlformats.org/officeDocument/2006/relationships/hyperlink" Target="https://www.bosettiegatti.eu/info/norme/statali/1968_1444.htm" TargetMode="External"/><Relationship Id="rId29" Type="http://schemas.openxmlformats.org/officeDocument/2006/relationships/hyperlink" Target="https://www.bosettiegatti.eu/info/norme/statali/2011_0214.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19</Pages>
  <Words>6335</Words>
  <Characters>36116</Characters>
  <Application>Microsoft Office Word</Application>
  <DocSecurity>0</DocSecurity>
  <Lines>300</Lines>
  <Paragraphs>84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Lattanzi</dc:creator>
  <cp:keywords/>
  <dc:description/>
  <cp:lastModifiedBy>paolo lucchi</cp:lastModifiedBy>
  <cp:revision>3</cp:revision>
  <cp:lastPrinted>2020-08-04T18:32:00Z</cp:lastPrinted>
  <dcterms:created xsi:type="dcterms:W3CDTF">2020-08-06T07:18:00Z</dcterms:created>
  <dcterms:modified xsi:type="dcterms:W3CDTF">2020-08-06T07:20:00Z</dcterms:modified>
</cp:coreProperties>
</file>