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B599" w14:textId="61F727C3" w:rsidR="00FB302E" w:rsidRPr="00F95174" w:rsidRDefault="00FB302E" w:rsidP="00FB302E">
      <w:pPr>
        <w:spacing w:before="100" w:beforeAutospacing="1" w:after="100" w:afterAutospacing="1"/>
        <w:rPr>
          <w:rFonts w:ascii="Batang" w:eastAsia="Batang" w:hAnsi="Batang" w:cs="Times New Roman"/>
          <w:b/>
          <w:bCs/>
          <w:sz w:val="22"/>
          <w:szCs w:val="22"/>
          <w:lang w:eastAsia="it-IT"/>
        </w:rPr>
      </w:pPr>
      <w:r w:rsidRPr="00F95174">
        <w:rPr>
          <w:rFonts w:ascii="Batang" w:eastAsia="Batang" w:hAnsi="Batang" w:cs="Times New Roman"/>
          <w:b/>
          <w:bCs/>
          <w:sz w:val="22"/>
          <w:szCs w:val="22"/>
          <w:lang w:eastAsia="it-IT"/>
        </w:rPr>
        <w:t>ESTRATTO DAL PGTU APPROVATO DALL’ASSEMBLEA CAPITOLINA NEL 2015</w:t>
      </w:r>
    </w:p>
    <w:p w14:paraId="4829ED95" w14:textId="7FA0648B" w:rsidR="00F95174" w:rsidRDefault="00F95174" w:rsidP="00FB302E">
      <w:pPr>
        <w:spacing w:before="100" w:beforeAutospacing="1" w:after="100" w:afterAutospacing="1"/>
        <w:rPr>
          <w:rFonts w:ascii="Batang" w:eastAsia="Batang" w:hAnsi="Batang" w:cs="Times New Roman"/>
          <w:sz w:val="22"/>
          <w:szCs w:val="22"/>
          <w:lang w:eastAsia="it-IT"/>
        </w:rPr>
      </w:pPr>
      <w:r>
        <w:rPr>
          <w:rFonts w:ascii="Batang" w:eastAsia="Batang" w:hAnsi="Batang" w:cs="Times New Roman"/>
          <w:sz w:val="22"/>
          <w:szCs w:val="22"/>
          <w:lang w:eastAsia="it-IT"/>
        </w:rPr>
        <w:t>(…)</w:t>
      </w:r>
    </w:p>
    <w:p w14:paraId="1CF160D9" w14:textId="697F924F" w:rsidR="00FB302E" w:rsidRPr="00F95174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F95174">
        <w:rPr>
          <w:rFonts w:ascii="Batang" w:eastAsia="Batang" w:hAnsi="Batang" w:cs="Times New Roman" w:hint="eastAsia"/>
          <w:b/>
          <w:bCs/>
          <w:sz w:val="22"/>
          <w:szCs w:val="22"/>
          <w:lang w:eastAsia="it-IT"/>
        </w:rPr>
        <w:t xml:space="preserve">13.2 I parcheggi privati </w:t>
      </w:r>
    </w:p>
    <w:p w14:paraId="731D1FA6" w14:textId="430D4CEC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Le maggiori </w:t>
      </w:r>
      <w:proofErr w:type="spellStart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criticita</w:t>
      </w:r>
      <w:proofErr w:type="spellEnd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del Programma Urbano Parcheggi, solo in parte affrontate nel corso della fase emergenziale, riguardano la parte dei parcheggi privati.</w:t>
      </w:r>
      <w:r w:rsidR="00F95174">
        <w:rPr>
          <w:rFonts w:ascii="Batang" w:eastAsia="Batang" w:hAnsi="Batang" w:cs="Times New Roman"/>
          <w:sz w:val="22"/>
          <w:szCs w:val="22"/>
          <w:lang w:eastAsia="it-IT"/>
        </w:rPr>
        <w:t xml:space="preserve"> 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Tali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criticita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̀</w:t>
      </w:r>
      <w:r w:rsidR="00F95174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sono state </w:t>
      </w:r>
      <w:proofErr w:type="spellStart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gia</w:t>
      </w:r>
      <w:proofErr w:type="spellEnd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evidenziate nel cosiddetto Patto per la Mobilità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, approvato con Deliberazione del Consiglio Comunale n. 231 del 13 dicembre 2004 e vengono di seguito riportate (in corsivo) indicando alcune possibili azioni correttive. </w:t>
      </w:r>
    </w:p>
    <w:p w14:paraId="3F542AB3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1) L'enorme e complessa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quantita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di passaggi che le procedure hanno richiesto ed ancora oggi richiedono, anche se con specifiche diverse, per tutte le tipologie di parcheggi inseriti nel PUP </w:t>
      </w:r>
    </w:p>
    <w:p w14:paraId="1AF6F790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Le azioni necessarie non possono che affrontare questo tema, con l'obiettivo da un lato di semplificare i passaggi procedurali, e dall'altro, contemporaneamente, di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incrementare il livello delle "garanzie", ponendo maggiore evidenza ed attenzione alle tematiche della "</w:t>
      </w:r>
      <w:proofErr w:type="spellStart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qualita</w:t>
      </w:r>
      <w:proofErr w:type="spellEnd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̀" (dei progetti, delle realizzazioni, dell'efficacia delle soluzioni rispetto al riuso degli spazi urbani per pedoni e trasporto pubblico, delle gestioni delle strutture, etc.).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0F83FD52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2) La scarsa rispondenza dei modelli di gestione delle strutture per la sosta alle esigenze funzionali nel Sistema di Mobilità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5599FA7F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Lo strumento fornito dall'articolo 9 della legge 122/89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con il fine di recuperare il deficit di sosta pertinenziale per le zone della città edificate prima della vigenza dell'obbligo di dotazioni standard di questa tipologia di parcheggi,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non si è rivelato aderente alle effettive (e mutevoli) reali esigenze degli ambiti urbani interessati.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0F2BAD76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In tale prospettiva,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il Comune di Roma nel tempo ha inserito nel PUP un abnorme numero di interventi,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affidandone la realizzazione, attraverso la stipula dei necessari atti convenzionali, agli operatori titolari delle iniziative inserite nel PUP stesso. Ad oggi, con il modello tipologico e funzionale del "pertinenziale" sono state realizzate strutture a box, vincolate in modo rigido, con apposito atto notarile, ad unità immobiliari comprese nel cosiddetto "raggio di influenza". </w:t>
      </w:r>
    </w:p>
    <w:p w14:paraId="374765CB" w14:textId="2C64F685" w:rsidR="00F95174" w:rsidRPr="00A729BB" w:rsidRDefault="00FB302E" w:rsidP="00FB302E">
      <w:pPr>
        <w:spacing w:before="100" w:beforeAutospacing="1" w:after="100" w:afterAutospacing="1"/>
        <w:rPr>
          <w:rFonts w:ascii="Batang" w:eastAsia="Batang" w:hAnsi="Batang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Nel corso della gestione "emergenziale" sono state apportate modifiche all'ambito di influenza, riducendone in modo significativo la portata. </w:t>
      </w:r>
    </w:p>
    <w:p w14:paraId="329C71AD" w14:textId="60755F38" w:rsidR="00FB302E" w:rsidRPr="00FB302E" w:rsidRDefault="00FB302E" w:rsidP="00FB302E">
      <w:pPr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B302E">
        <w:rPr>
          <w:rFonts w:ascii="Times New Roman" w:eastAsia="Times New Roman" w:hAnsi="Times New Roman" w:cs="Times New Roman"/>
          <w:lang w:eastAsia="it-IT"/>
        </w:rPr>
        <w:instrText xml:space="preserve"> INCLUDEPICTURE "/var/folders/q6/n67m68gs6f1g5kzr0__p09hw0000gn/T/com.microsoft.Word/WebArchiveCopyPasteTempFiles/page180image40032560" \* MERGEFORMATINET </w:instrText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B302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11D2CB00" wp14:editId="5EC288CE">
            <wp:extent cx="624840" cy="525145"/>
            <wp:effectExtent l="0" t="0" r="0" b="0"/>
            <wp:docPr id="25" name="Immagine 25" descr="page180image4003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80image40032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36C1CDD8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0"/>
          <w:szCs w:val="20"/>
          <w:lang w:eastAsia="it-IT"/>
        </w:rPr>
        <w:t xml:space="preserve">171 </w:t>
      </w:r>
    </w:p>
    <w:p w14:paraId="2C99D3C1" w14:textId="77777777" w:rsidR="00A729BB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color w:val="6B6B70"/>
          <w:sz w:val="18"/>
          <w:szCs w:val="18"/>
          <w:lang w:eastAsia="it-IT"/>
        </w:rPr>
        <w:t xml:space="preserve">NUOVO PIANO GENERALE DEL TRAFFICO URBANO DI ROMA CAPITALE </w:t>
      </w:r>
    </w:p>
    <w:p w14:paraId="34286E97" w14:textId="5EA2F4E5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Attraverso tali realizzazioni: </w:t>
      </w:r>
    </w:p>
    <w:p w14:paraId="0E276E3A" w14:textId="77777777" w:rsidR="00FB302E" w:rsidRPr="00FB302E" w:rsidRDefault="00FB302E" w:rsidP="00FB302E">
      <w:pPr>
        <w:numPr>
          <w:ilvl w:val="0"/>
          <w:numId w:val="1"/>
        </w:numPr>
        <w:spacing w:before="100" w:beforeAutospacing="1" w:after="100" w:afterAutospacing="1"/>
        <w:rPr>
          <w:rFonts w:ascii="Batang" w:eastAsia="Batang" w:hAnsi="Batang" w:cs="Times New Roman"/>
          <w:sz w:val="22"/>
          <w:szCs w:val="22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lastRenderedPageBreak/>
        <w:t>non si è contribuito a limitare i posti auto presenti in superficie sul suolo pubblico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(e quindi a produrre quegli effetti "benefici" sull'intero Sistema della Mobilità che costituivano uno degli obiettivi della stessa Legge 122/89), aggiungendo al contrario offerta di sosta rispetto all'esistente; </w:t>
      </w:r>
    </w:p>
    <w:p w14:paraId="19BC529B" w14:textId="77777777" w:rsidR="00FB302E" w:rsidRPr="00FB302E" w:rsidRDefault="00FB302E" w:rsidP="00FB302E">
      <w:pPr>
        <w:numPr>
          <w:ilvl w:val="0"/>
          <w:numId w:val="1"/>
        </w:numPr>
        <w:spacing w:before="100" w:beforeAutospacing="1" w:after="100" w:afterAutospacing="1"/>
        <w:rPr>
          <w:rFonts w:ascii="Batang" w:eastAsia="Batang" w:hAnsi="Batang" w:cs="Times New Roman"/>
          <w:sz w:val="22"/>
          <w:szCs w:val="22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sono stati costruiti box che restano di fatto non usati quando il proprietario li lascia liberi dalla propria automobile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;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cio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significa che lo spazio realizzato resta inutilizzato per una percentuale (stimata attorno al 40%) dell'arco del tempo (giorno, settimana, mese, anno). </w:t>
      </w:r>
    </w:p>
    <w:p w14:paraId="68B9CC3D" w14:textId="4918DE62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A tale problema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si è data parziale risposta con l'inserimento di posti auto non</w:t>
      </w:r>
      <w:r w:rsidR="00F95174" w:rsidRPr="00F95174">
        <w:rPr>
          <w:rFonts w:ascii="Batang" w:eastAsia="Batang" w:hAnsi="Batang" w:cs="Times New Roman"/>
          <w:sz w:val="22"/>
          <w:szCs w:val="22"/>
          <w:highlight w:val="yellow"/>
          <w:lang w:eastAsia="it-IT"/>
        </w:rPr>
        <w:t xml:space="preserve">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pertinenziali nelle previsioni di parcheggi privati del Piano Emergenziale.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3ADD2863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3) La eccessiva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conflittualita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</w:t>
      </w:r>
    </w:p>
    <w:p w14:paraId="51632AD7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L'eredità del Programma Urbano Parcheggi, formatosi in assenza di legislazione riguardante la condivisione e la trasparenza delle decisioni (cfr. le procedure di Valutazione Ambientale Strategica, e le procedure di informazione e consultazione della cittadinanza previste dalla Deliberazione del Consiglio Comunale n. 57 del 2 marzo 2005), ha generato in molti casi aspri contrasti con la cittadinanza e con le forme di associazionismo di quartiere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. </w:t>
      </w:r>
    </w:p>
    <w:p w14:paraId="646F61E1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Tale aspetto si è ulteriormente accentuato nel periodo di gestione emergenziale, contraendo ancor di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piu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la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pluralita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dei livelli decisionali, specie di quelli rappresentativi. </w:t>
      </w:r>
    </w:p>
    <w:p w14:paraId="200AE489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4) Il ruolo dei Municipi </w:t>
      </w:r>
    </w:p>
    <w:p w14:paraId="5CEE0F8B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La partecipazione dei Municipi al procedimento attuativo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ha determinato spesso la necessità di </w:t>
      </w:r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modificare localizzazioni </w:t>
      </w:r>
      <w:proofErr w:type="spellStart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gia</w:t>
      </w:r>
      <w:proofErr w:type="spellEnd"/>
      <w:r w:rsidRPr="00F95174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assentite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con l'approvazione originaria del PUP e/o progetti spesso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gia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approvati o in via di approvazione in linea tecnica, in alcuni casi approvati con provvedimento esecutivo o addirittura in presenza del contratto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gia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stipulato. </w:t>
      </w:r>
    </w:p>
    <w:p w14:paraId="33D7350B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In qualche caso si è proceduto a cancellare interventi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gia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muniti di permesso di costruire o con il cantiere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gia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avviato, con i conseguenti rischi di esposizione dell'Amministrazione capitolina a richieste di risarcimento danni o di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ennesima ricollocazione in altro sito, eventualmente di maggior pregio.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621AAFE6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5) Contenziosi in essere e potenziali con gli operatori </w:t>
      </w:r>
    </w:p>
    <w:p w14:paraId="34DB00A5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Il complesso delle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criticita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sopra descritte ha generato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un contenzioso che rischia di espandersi a dismisura,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soprattutto in ragione, allo stato attuale, di un'offerta di nuovi siti inferiore sia alla domanda che scaturisce dagli interventi compresi nel PUP, sia a quella determinata in modo strutturale dalle analisi specialistiche compiute sul territorio. </w:t>
      </w:r>
    </w:p>
    <w:p w14:paraId="50B4779B" w14:textId="346CB6F3" w:rsidR="00FB302E" w:rsidRPr="00FB302E" w:rsidRDefault="00FB302E" w:rsidP="00FB302E">
      <w:pPr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B302E">
        <w:rPr>
          <w:rFonts w:ascii="Times New Roman" w:eastAsia="Times New Roman" w:hAnsi="Times New Roman" w:cs="Times New Roman"/>
          <w:lang w:eastAsia="it-IT"/>
        </w:rPr>
        <w:instrText xml:space="preserve"> INCLUDEPICTURE "/var/folders/q6/n67m68gs6f1g5kzr0__p09hw0000gn/T/com.microsoft.Word/WebArchiveCopyPasteTempFiles/page181image40210912" \* MERGEFORMATINET </w:instrText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B302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B9D6697" wp14:editId="60583EC3">
            <wp:extent cx="624840" cy="525145"/>
            <wp:effectExtent l="0" t="0" r="0" b="0"/>
            <wp:docPr id="24" name="Immagine 24" descr="page181image4021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81image40210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365D61F5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0"/>
          <w:szCs w:val="20"/>
          <w:lang w:eastAsia="it-IT"/>
        </w:rPr>
        <w:t xml:space="preserve">172 </w:t>
      </w:r>
    </w:p>
    <w:p w14:paraId="3783B604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color w:val="6B6B70"/>
          <w:sz w:val="18"/>
          <w:szCs w:val="18"/>
          <w:lang w:eastAsia="it-IT"/>
        </w:rPr>
        <w:lastRenderedPageBreak/>
        <w:t xml:space="preserve">NUOVO PIANO GENERALE DEL TRAFFICO URBANO DI ROMA CAPITALE </w:t>
      </w:r>
    </w:p>
    <w:p w14:paraId="52EA9244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6) L'inadeguatezza delle risposte da parte di alcuni operatori </w:t>
      </w:r>
    </w:p>
    <w:p w14:paraId="0BFA1A3D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Alcuni aspetti della regolamentazione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delle procedure,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in gran parte contenute nello schema di convenzione,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si sono rivelati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insufficienti a garantire la </w:t>
      </w:r>
      <w:proofErr w:type="spellStart"/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possibilita</w:t>
      </w:r>
      <w:proofErr w:type="spellEnd"/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di ricondurre l'operatore inadempiente ad un comportamento virtuoso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. Il sistema delle garanzie si è dimostrato alla prova dei fatti da una parte eccessivamente penalizzante per gli operatori scrupolosi, dall'altra poco incisivo con gli operatori inadempienti. </w:t>
      </w:r>
    </w:p>
    <w:p w14:paraId="14CD6058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7) L'area centrale della città </w:t>
      </w:r>
    </w:p>
    <w:p w14:paraId="25F5BCB4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L'area centrale della città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nell'ambito di una politica tesa a ridurre la presenza di veicoli circolanti in maniera progressiva dalla periferia al centro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, e comunque nelle zone a maggiore presenza di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attivita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̀, rispetto </w:t>
      </w:r>
      <w:proofErr w:type="gram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alle zona</w:t>
      </w:r>
      <w:proofErr w:type="gram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a prevalente destinazione abitativa,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induce a spostare sempre </w:t>
      </w:r>
      <w:proofErr w:type="spellStart"/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piu</w:t>
      </w:r>
      <w:proofErr w:type="spellEnd"/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all'esterno l'ubicazione di strutture per la sosta.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5F5509B9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Il complesso dei problemi evidenziati, unitamente al fenomeno della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contrazione della domanda di parcheggi dovuta alla congiuntura attuale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, ed alle conseguenze derivanti dall'attuazione delle politiche di restrizione all'uso del mezzo privato nelle aree centrali, inducono l'Amministrazione a valutare </w:t>
      </w:r>
      <w:r w:rsidRPr="00A729BB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di procedere alla chiusura del Programma Urbano Parcheggi e di riproporre un nuovo modello di offerta di sosta, in coerenza con gli obiettivi del PGTU.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</w:p>
    <w:p w14:paraId="5C62F138" w14:textId="385209C2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In tale contesto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sara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̀</w:t>
      </w:r>
      <w:r w:rsidR="00A729BB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salvaguardata una rosa di interventi (tra quelli presenti nel PUP attuale) caratterizzati in base ai seguenti criteri: </w:t>
      </w:r>
    </w:p>
    <w:p w14:paraId="5ACCEA94" w14:textId="77777777" w:rsidR="00FB302E" w:rsidRPr="00FB302E" w:rsidRDefault="00FB302E" w:rsidP="00FB302E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benefici alla mobilità che possono derivare dalla realizzazione delle opere; </w:t>
      </w:r>
    </w:p>
    <w:p w14:paraId="02500590" w14:textId="77777777" w:rsidR="00FB302E" w:rsidRPr="00FB302E" w:rsidRDefault="00FB302E" w:rsidP="00FB302E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stato dell'iter di approvazione del progetto; </w:t>
      </w:r>
    </w:p>
    <w:p w14:paraId="52F217F7" w14:textId="77777777" w:rsidR="00FB302E" w:rsidRPr="00FB302E" w:rsidRDefault="00FB302E" w:rsidP="00FB302E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fattibilita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tecnica del progetto. </w:t>
      </w:r>
    </w:p>
    <w:p w14:paraId="2C8E307B" w14:textId="77777777" w:rsidR="00FB302E" w:rsidRPr="00FB302E" w:rsidRDefault="00FB302E" w:rsidP="00FB302E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Gli interventi selezionati saranno oggetto di uno specifico percorso finalizzato alla definizione dei parcheggi, sentita l'Assemblea Capitolina e le competenti Commissioni Permanenti, da portare a conclusione. </w:t>
      </w:r>
    </w:p>
    <w:p w14:paraId="65E6AFAE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8.13.3 Indirizzi per il nuovo PUP </w:t>
      </w:r>
    </w:p>
    <w:p w14:paraId="5DEE8D9C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E'</w:t>
      </w:r>
      <w:proofErr w:type="gram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tuttavia evidente che l'offerta di posti auto (p.a.) complessivamente realizzata è comunque del tutto insufficiente rispetto alla domanda. Il PUP, nella sua formulazione del 1990, prevedeva 119.700 p.a. tra pertinenziali e sostitutivi, che successivamente nella revisione operata dal "Patto della Mobilità" stimava in circa 147.300 p.a. (di cui 17.500 sostitutivi e 129.800 pertinenziali). </w:t>
      </w:r>
    </w:p>
    <w:p w14:paraId="23BB8CFD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Nelle successive tabelle viene riportato lo stato di attuazione del PUP che complessivamente sviluppa 79.000 posti auto di cui oltre 39.000 realizzati. </w:t>
      </w:r>
    </w:p>
    <w:p w14:paraId="6D1C8E4A" w14:textId="039053F8" w:rsidR="00FB302E" w:rsidRPr="00FB302E" w:rsidRDefault="00FB302E" w:rsidP="00FB302E">
      <w:pPr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B302E">
        <w:rPr>
          <w:rFonts w:ascii="Times New Roman" w:eastAsia="Times New Roman" w:hAnsi="Times New Roman" w:cs="Times New Roman"/>
          <w:lang w:eastAsia="it-IT"/>
        </w:rPr>
        <w:instrText xml:space="preserve"> INCLUDEPICTURE "/var/folders/q6/n67m68gs6f1g5kzr0__p09hw0000gn/T/com.microsoft.Word/WebArchiveCopyPasteTempFiles/page182image39939040" \* MERGEFORMATINET </w:instrText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B302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0757C8E" wp14:editId="08677215">
            <wp:extent cx="624840" cy="525145"/>
            <wp:effectExtent l="0" t="0" r="0" b="0"/>
            <wp:docPr id="23" name="Immagine 23" descr="page182image399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82image399390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B8B988D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0"/>
          <w:szCs w:val="20"/>
          <w:lang w:eastAsia="it-IT"/>
        </w:rPr>
        <w:lastRenderedPageBreak/>
        <w:t xml:space="preserve">173 </w:t>
      </w:r>
    </w:p>
    <w:p w14:paraId="35685A2D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color w:val="6B6B70"/>
          <w:sz w:val="18"/>
          <w:szCs w:val="18"/>
          <w:lang w:eastAsia="it-IT"/>
        </w:rPr>
        <w:t xml:space="preserve">NUOVO PIANO GENERALE DEL TRAFFICO URBANO DI ROMA CAPITALE </w:t>
      </w:r>
    </w:p>
    <w:p w14:paraId="477FA32C" w14:textId="77777777" w:rsidR="00B32BB1" w:rsidRDefault="00A729BB" w:rsidP="00FB302E">
      <w:pPr>
        <w:spacing w:before="100" w:beforeAutospacing="1" w:after="100" w:afterAutospacing="1"/>
        <w:rPr>
          <w:rFonts w:ascii="Batang" w:eastAsia="Batang" w:hAnsi="Batang" w:cs="Times New Roman"/>
          <w:sz w:val="20"/>
          <w:szCs w:val="20"/>
          <w:lang w:eastAsia="it-IT"/>
        </w:rPr>
      </w:pPr>
      <w:r>
        <w:rPr>
          <w:rFonts w:ascii="Batang" w:eastAsia="Batang" w:hAnsi="Batang" w:cs="Times New Roman"/>
          <w:noProof/>
          <w:sz w:val="20"/>
          <w:szCs w:val="20"/>
          <w:lang w:eastAsia="it-IT"/>
        </w:rPr>
        <w:drawing>
          <wp:inline distT="0" distB="0" distL="0" distR="0" wp14:anchorId="0B7F4E3C" wp14:editId="36A0F0A8">
            <wp:extent cx="5331411" cy="5613148"/>
            <wp:effectExtent l="0" t="0" r="3175" b="63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164" cy="56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2FAF" w14:textId="5F7C8823" w:rsidR="00FB302E" w:rsidRPr="00A729BB" w:rsidRDefault="00FB302E" w:rsidP="00FB302E">
      <w:pPr>
        <w:spacing w:before="100" w:beforeAutospacing="1" w:after="100" w:afterAutospacing="1"/>
        <w:rPr>
          <w:rFonts w:ascii="Batang" w:eastAsia="Batang" w:hAnsi="Batang" w:cs="Times New Roman"/>
          <w:sz w:val="20"/>
          <w:szCs w:val="20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Il nuovo Piano parcheggi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dovra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</w:t>
      </w: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definire l’individuazione dei nuovi siti e delle relative </w:t>
      </w:r>
      <w:proofErr w:type="spellStart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modalita</w:t>
      </w:r>
      <w:proofErr w:type="spellEnd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̀ attuative che superino le </w:t>
      </w:r>
      <w:proofErr w:type="spellStart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criticita</w:t>
      </w:r>
      <w:proofErr w:type="spellEnd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attuali in relazione alle reali esigenze della città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</w:t>
      </w: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e di concerto con le indicazioni dei Municipi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 secondo il seguente schema di azioni: </w:t>
      </w:r>
    </w:p>
    <w:p w14:paraId="15DB0CDE" w14:textId="77777777" w:rsidR="00FB302E" w:rsidRPr="00FB302E" w:rsidRDefault="00FB302E" w:rsidP="00FB302E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individuazione della domanda di sosta attuale anche in relazione agli interventi di sgombero della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viabilita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 portante e di riqualificazione delle isole ambientali; </w:t>
      </w:r>
    </w:p>
    <w:p w14:paraId="0F894E48" w14:textId="06A39D83" w:rsidR="00FB302E" w:rsidRPr="00FB302E" w:rsidRDefault="00FB302E" w:rsidP="00FB302E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individuazione della domanda di scambio</w:t>
      </w:r>
      <w:r w:rsidR="00B32BB1">
        <w:rPr>
          <w:rFonts w:ascii="Batang" w:eastAsia="Batang" w:hAnsi="Batang" w:cs="Times New Roman"/>
          <w:sz w:val="22"/>
          <w:szCs w:val="22"/>
          <w:lang w:eastAsia="it-IT"/>
        </w:rPr>
        <w:t xml:space="preserve"> 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finalizzata allo sviluppo della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intermodalita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̀, tra i diversi livelli della mobilità sostenibile (mezzi pubblici,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ciclabilita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̀, car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sharing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, bike </w:t>
      </w:r>
      <w:proofErr w:type="spellStart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>sharing</w:t>
      </w:r>
      <w:proofErr w:type="spellEnd"/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, etc.); </w:t>
      </w:r>
    </w:p>
    <w:p w14:paraId="218CEB63" w14:textId="77777777" w:rsidR="00FB302E" w:rsidRPr="00FB302E" w:rsidRDefault="00FB302E" w:rsidP="00FB302E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individuazione di aree e dimensioni dei parcheggi sulla base di un quadro di esigenze ed in coerenza con gli obiettivi di utilizzo del trasporto pubblico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; </w:t>
      </w:r>
    </w:p>
    <w:p w14:paraId="362EF687" w14:textId="77777777" w:rsidR="00FB302E" w:rsidRPr="00B32BB1" w:rsidRDefault="00FB302E" w:rsidP="00FB302E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highlight w:val="yellow"/>
          <w:lang w:eastAsia="it-IT"/>
        </w:rPr>
      </w:pP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articolazione di ciascun intervento con indicazione del numero degli stalli, i costi di massima, la ripartizione tra gli stalli (sosta di lunga e breve durata), il piano economico dell’intervento; </w:t>
      </w:r>
    </w:p>
    <w:p w14:paraId="42B47069" w14:textId="77777777" w:rsidR="00FB302E" w:rsidRPr="00FB302E" w:rsidRDefault="00FB302E" w:rsidP="00FB302E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lastRenderedPageBreak/>
        <w:t xml:space="preserve">attuazione del Piano attraverso </w:t>
      </w: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procedure di PPP, privilegiando nella scelta del partner privato soggetti finanziari e soggetti competenti nella gestione dei parcheggi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; </w:t>
      </w:r>
    </w:p>
    <w:p w14:paraId="1F493E0B" w14:textId="23100030" w:rsidR="00FB302E" w:rsidRPr="00FB302E" w:rsidRDefault="00FB302E" w:rsidP="00FB302E">
      <w:pPr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B302E">
        <w:rPr>
          <w:rFonts w:ascii="Times New Roman" w:eastAsia="Times New Roman" w:hAnsi="Times New Roman" w:cs="Times New Roman"/>
          <w:lang w:eastAsia="it-IT"/>
        </w:rPr>
        <w:instrText xml:space="preserve"> INCLUDEPICTURE "/var/folders/q6/n67m68gs6f1g5kzr0__p09hw0000gn/T/com.microsoft.Word/WebArchiveCopyPasteTempFiles/page183image39955008" \* MERGEFORMATINET </w:instrText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B302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199B9E12" wp14:editId="60150FE7">
            <wp:extent cx="624840" cy="525145"/>
            <wp:effectExtent l="0" t="0" r="0" b="0"/>
            <wp:docPr id="2" name="Immagine 2" descr="page183image3995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183image39955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2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57DDF3ED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sz w:val="20"/>
          <w:szCs w:val="20"/>
          <w:lang w:eastAsia="it-IT"/>
        </w:rPr>
        <w:t xml:space="preserve">174 </w:t>
      </w:r>
    </w:p>
    <w:p w14:paraId="78E3B352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Batang" w:eastAsia="Batang" w:hAnsi="Batang" w:cs="Times New Roman" w:hint="eastAsia"/>
          <w:color w:val="6B6B70"/>
          <w:sz w:val="18"/>
          <w:szCs w:val="18"/>
          <w:lang w:eastAsia="it-IT"/>
        </w:rPr>
        <w:t xml:space="preserve">NUOVO PIANO GENERALE DEL TRAFFICO URBANO DI ROMA CAPITALE </w:t>
      </w:r>
    </w:p>
    <w:p w14:paraId="52634407" w14:textId="77777777" w:rsidR="00FB302E" w:rsidRPr="00FB302E" w:rsidRDefault="00FB302E" w:rsidP="00FB30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B302E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• </w:t>
      </w:r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 xml:space="preserve">definizione di </w:t>
      </w:r>
      <w:proofErr w:type="spellStart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modalita</w:t>
      </w:r>
      <w:proofErr w:type="spellEnd"/>
      <w:r w:rsidRPr="00B32BB1">
        <w:rPr>
          <w:rFonts w:ascii="Batang" w:eastAsia="Batang" w:hAnsi="Batang" w:cs="Times New Roman" w:hint="eastAsia"/>
          <w:sz w:val="22"/>
          <w:szCs w:val="22"/>
          <w:highlight w:val="yellow"/>
          <w:lang w:eastAsia="it-IT"/>
        </w:rPr>
        <w:t>̀ di informazione, funzionali a favorire meccanismi di partecipazione e di trasparenza dei processi di programmazione e attuazione</w:t>
      </w:r>
      <w:r w:rsidRPr="00FB302E">
        <w:rPr>
          <w:rFonts w:ascii="Batang" w:eastAsia="Batang" w:hAnsi="Batang" w:cs="Times New Roman" w:hint="eastAsia"/>
          <w:sz w:val="22"/>
          <w:szCs w:val="22"/>
          <w:lang w:eastAsia="it-IT"/>
        </w:rPr>
        <w:t xml:space="preserve">. </w:t>
      </w:r>
    </w:p>
    <w:p w14:paraId="4535A878" w14:textId="4DDE6BDA" w:rsidR="00FB302E" w:rsidRPr="00FB302E" w:rsidRDefault="00FB302E" w:rsidP="00FB302E">
      <w:pPr>
        <w:rPr>
          <w:rFonts w:ascii="Times New Roman" w:eastAsia="Times New Roman" w:hAnsi="Times New Roman" w:cs="Times New Roman"/>
          <w:lang w:eastAsia="it-IT"/>
        </w:rPr>
      </w:pPr>
    </w:p>
    <w:p w14:paraId="1B8CDF52" w14:textId="77777777" w:rsidR="00B846F6" w:rsidRDefault="00B846F6"/>
    <w:sectPr w:rsidR="00B846F6" w:rsidSect="002770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AAC"/>
    <w:multiLevelType w:val="multilevel"/>
    <w:tmpl w:val="A17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B72F8"/>
    <w:multiLevelType w:val="multilevel"/>
    <w:tmpl w:val="E3B2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5CA0"/>
    <w:multiLevelType w:val="multilevel"/>
    <w:tmpl w:val="606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E"/>
    <w:rsid w:val="00277042"/>
    <w:rsid w:val="00A729BB"/>
    <w:rsid w:val="00B32BB1"/>
    <w:rsid w:val="00B846F6"/>
    <w:rsid w:val="00F95174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FAC64"/>
  <w15:chartTrackingRefBased/>
  <w15:docId w15:val="{8A63236C-2CA4-2245-B7ED-527B93D4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30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lucchi</dc:creator>
  <cp:keywords/>
  <dc:description/>
  <cp:lastModifiedBy>paolo lucchi</cp:lastModifiedBy>
  <cp:revision>2</cp:revision>
  <dcterms:created xsi:type="dcterms:W3CDTF">2022-03-11T19:14:00Z</dcterms:created>
  <dcterms:modified xsi:type="dcterms:W3CDTF">2022-03-12T21:39:00Z</dcterms:modified>
</cp:coreProperties>
</file>