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E30560" w14:textId="5BE4A3BA" w:rsidR="00FE51D3" w:rsidRPr="00FE51D3" w:rsidRDefault="00FE51D3" w:rsidP="00FE51D3">
      <w:pPr>
        <w:pStyle w:val="NormaleWeb"/>
        <w:rPr>
          <w:rFonts w:ascii="Capitolium" w:hAnsi="Capitolium"/>
          <w:b/>
          <w:bCs/>
        </w:rPr>
      </w:pPr>
      <w:r w:rsidRPr="00FE51D3">
        <w:rPr>
          <w:rFonts w:ascii="Capitolium" w:hAnsi="Capitolium"/>
          <w:b/>
          <w:bCs/>
        </w:rPr>
        <w:t xml:space="preserve">Art.45. Tessuti della Città consolidata. Norme generali </w:t>
      </w:r>
    </w:p>
    <w:p w14:paraId="6D69F906" w14:textId="0BCB4D5A" w:rsidR="00FE51D3" w:rsidRPr="00FE51D3" w:rsidRDefault="00FE51D3" w:rsidP="00FE51D3">
      <w:pPr>
        <w:pStyle w:val="NormaleWeb"/>
        <w:rPr>
          <w:b/>
          <w:bCs/>
        </w:rPr>
      </w:pPr>
      <w:r w:rsidRPr="00FE51D3">
        <w:rPr>
          <w:rFonts w:ascii="Capitolium" w:hAnsi="Capitolium"/>
          <w:b/>
          <w:bCs/>
        </w:rPr>
        <w:t>(estratto da PRG 2008)</w:t>
      </w:r>
    </w:p>
    <w:p w14:paraId="286BB0D1" w14:textId="77777777" w:rsidR="00FE51D3" w:rsidRPr="00FE51D3" w:rsidRDefault="00FE51D3" w:rsidP="00FE51D3">
      <w:pPr>
        <w:spacing w:before="100" w:beforeAutospacing="1" w:after="100" w:afterAutospacing="1"/>
        <w:rPr>
          <w:rFonts w:ascii="Times New Roman" w:eastAsia="Times New Roman" w:hAnsi="Times New Roman" w:cs="Times New Roman"/>
          <w:b/>
          <w:bCs/>
          <w:lang w:eastAsia="it-IT"/>
        </w:rPr>
      </w:pPr>
      <w:r w:rsidRPr="00FE51D3">
        <w:rPr>
          <w:rFonts w:ascii="Capitolium" w:eastAsia="Times New Roman" w:hAnsi="Capitolium" w:cs="Times New Roman"/>
          <w:b/>
          <w:bCs/>
          <w:lang w:eastAsia="it-IT"/>
        </w:rPr>
        <w:t xml:space="preserve">Art.45. Tessuti della Città consolidata. Norme generali </w:t>
      </w:r>
    </w:p>
    <w:p w14:paraId="466AFACC" w14:textId="14DF65DE" w:rsidR="00FE51D3" w:rsidRPr="00FE51D3" w:rsidRDefault="00FE51D3" w:rsidP="00FE51D3">
      <w:pPr>
        <w:spacing w:before="100" w:beforeAutospacing="1" w:after="100" w:afterAutospacing="1"/>
        <w:rPr>
          <w:rFonts w:ascii="Times New Roman" w:eastAsia="Times New Roman" w:hAnsi="Times New Roman" w:cs="Times New Roman"/>
          <w:lang w:eastAsia="it-IT"/>
        </w:rPr>
      </w:pPr>
      <w:r w:rsidRPr="00FE51D3">
        <w:rPr>
          <w:rFonts w:ascii="Capitolium" w:eastAsia="Times New Roman" w:hAnsi="Capitolium" w:cs="Times New Roman"/>
          <w:lang w:eastAsia="it-IT"/>
        </w:rPr>
        <w:t xml:space="preserve">1. Si intendono per </w:t>
      </w:r>
      <w:r w:rsidRPr="00FE51D3">
        <w:rPr>
          <w:rFonts w:ascii="Capitolium" w:eastAsia="Times New Roman" w:hAnsi="Capitolium" w:cs="Times New Roman"/>
          <w:i/>
          <w:iCs/>
          <w:lang w:eastAsia="it-IT"/>
        </w:rPr>
        <w:t xml:space="preserve">Tessuti </w:t>
      </w:r>
      <w:r w:rsidRPr="00FE51D3">
        <w:rPr>
          <w:rFonts w:ascii="Capitolium" w:eastAsia="Times New Roman" w:hAnsi="Capitolium" w:cs="Times New Roman"/>
          <w:lang w:eastAsia="it-IT"/>
        </w:rPr>
        <w:t xml:space="preserve">della </w:t>
      </w:r>
      <w:r w:rsidRPr="00FE51D3">
        <w:rPr>
          <w:rFonts w:ascii="Capitolium" w:eastAsia="Times New Roman" w:hAnsi="Capitolium" w:cs="Times New Roman"/>
          <w:i/>
          <w:iCs/>
          <w:lang w:eastAsia="it-IT"/>
        </w:rPr>
        <w:t xml:space="preserve">Città consolidata </w:t>
      </w:r>
      <w:r w:rsidRPr="00FE51D3">
        <w:rPr>
          <w:rFonts w:ascii="Capitolium" w:eastAsia="Times New Roman" w:hAnsi="Capitolium" w:cs="Times New Roman"/>
          <w:lang w:eastAsia="it-IT"/>
        </w:rPr>
        <w:t xml:space="preserve">l’insieme di uno o </w:t>
      </w:r>
      <w:proofErr w:type="spellStart"/>
      <w:r w:rsidRPr="00FE51D3">
        <w:rPr>
          <w:rFonts w:ascii="Capitolium" w:eastAsia="Times New Roman" w:hAnsi="Capitolium" w:cs="Times New Roman"/>
          <w:lang w:eastAsia="it-IT"/>
        </w:rPr>
        <w:t>piu</w:t>
      </w:r>
      <w:proofErr w:type="spellEnd"/>
      <w:r w:rsidRPr="00FE51D3">
        <w:rPr>
          <w:rFonts w:ascii="Capitolium" w:eastAsia="Times New Roman" w:hAnsi="Capitolium" w:cs="Times New Roman"/>
          <w:lang w:eastAsia="it-IT"/>
        </w:rPr>
        <w:t xml:space="preserve">̀ isolati, riconducibile a regole omogenee d’impianto, suddivisione del suolo, disposizione e rapporto con i tracciati viari, per lo </w:t>
      </w:r>
      <w:proofErr w:type="spellStart"/>
      <w:r w:rsidRPr="00FE51D3">
        <w:rPr>
          <w:rFonts w:ascii="Capitolium" w:eastAsia="Times New Roman" w:hAnsi="Capitolium" w:cs="Times New Roman"/>
          <w:lang w:eastAsia="it-IT"/>
        </w:rPr>
        <w:t>piu</w:t>
      </w:r>
      <w:proofErr w:type="spellEnd"/>
      <w:r w:rsidRPr="00FE51D3">
        <w:rPr>
          <w:rFonts w:ascii="Capitolium" w:eastAsia="Times New Roman" w:hAnsi="Capitolium" w:cs="Times New Roman"/>
          <w:lang w:eastAsia="it-IT"/>
        </w:rPr>
        <w:t xml:space="preserve">̀ definite dalla strumentazione urbanistica generale ed esecutiva intervenuta a partire dal Piano regolatore del 1931. </w:t>
      </w:r>
    </w:p>
    <w:p w14:paraId="112438C8" w14:textId="77777777" w:rsidR="00FE51D3" w:rsidRPr="00FE51D3" w:rsidRDefault="00FE51D3" w:rsidP="00FE51D3">
      <w:pPr>
        <w:rPr>
          <w:rFonts w:ascii="Times New Roman" w:hAnsi="Times New Roman"/>
          <w:lang w:eastAsia="it-IT"/>
        </w:rPr>
      </w:pPr>
      <w:r w:rsidRPr="00FE51D3">
        <w:rPr>
          <w:lang w:eastAsia="it-IT"/>
        </w:rPr>
        <w:t xml:space="preserve">2. I tessuti della Città consolidata, individuati nell’elaborato 3 “Sistemi e Regole”, </w:t>
      </w:r>
      <w:proofErr w:type="spellStart"/>
      <w:r w:rsidRPr="00FE51D3">
        <w:rPr>
          <w:lang w:eastAsia="it-IT"/>
        </w:rPr>
        <w:t>rapp</w:t>
      </w:r>
      <w:proofErr w:type="spellEnd"/>
      <w:r w:rsidRPr="00FE51D3">
        <w:rPr>
          <w:lang w:eastAsia="it-IT"/>
        </w:rPr>
        <w:t>. 1:10.000, si articolano in:</w:t>
      </w:r>
      <w:r w:rsidRPr="00FE51D3">
        <w:rPr>
          <w:lang w:eastAsia="it-IT"/>
        </w:rPr>
        <w:br/>
        <w:t xml:space="preserve">T1-Tessuti di espansione novecentesca a tipologia definita e a media </w:t>
      </w:r>
      <w:proofErr w:type="spellStart"/>
      <w:r w:rsidRPr="00FE51D3">
        <w:rPr>
          <w:lang w:eastAsia="it-IT"/>
        </w:rPr>
        <w:t>densita</w:t>
      </w:r>
      <w:proofErr w:type="spellEnd"/>
      <w:r w:rsidRPr="00FE51D3">
        <w:rPr>
          <w:lang w:eastAsia="it-IT"/>
        </w:rPr>
        <w:t xml:space="preserve">̀ insediativa; </w:t>
      </w:r>
    </w:p>
    <w:p w14:paraId="35A30DE0" w14:textId="77777777" w:rsidR="00FE51D3" w:rsidRPr="00FE51D3" w:rsidRDefault="00FE51D3" w:rsidP="00FE51D3">
      <w:pPr>
        <w:rPr>
          <w:rFonts w:ascii="Times New Roman" w:hAnsi="Times New Roman"/>
          <w:lang w:eastAsia="it-IT"/>
        </w:rPr>
      </w:pPr>
      <w:r w:rsidRPr="00FE51D3">
        <w:rPr>
          <w:lang w:eastAsia="it-IT"/>
        </w:rPr>
        <w:t xml:space="preserve">T2-Tessuti di espansione novecentesca a tipologia definita e ad alta </w:t>
      </w:r>
      <w:proofErr w:type="spellStart"/>
      <w:r w:rsidRPr="00FE51D3">
        <w:rPr>
          <w:lang w:eastAsia="it-IT"/>
        </w:rPr>
        <w:t>densita</w:t>
      </w:r>
      <w:proofErr w:type="spellEnd"/>
      <w:r w:rsidRPr="00FE51D3">
        <w:rPr>
          <w:lang w:eastAsia="it-IT"/>
        </w:rPr>
        <w:t>̀ insediativa;</w:t>
      </w:r>
      <w:r w:rsidRPr="00FE51D3">
        <w:rPr>
          <w:lang w:eastAsia="it-IT"/>
        </w:rPr>
        <w:br/>
        <w:t xml:space="preserve">T3-Tessuti di espansione novecentesca a tipologia libera. </w:t>
      </w:r>
    </w:p>
    <w:p w14:paraId="4B580D36" w14:textId="5126CB30" w:rsidR="00FE51D3" w:rsidRPr="00FE51D3" w:rsidRDefault="00FE51D3" w:rsidP="00FE51D3">
      <w:pPr>
        <w:spacing w:before="100" w:beforeAutospacing="1" w:after="100" w:afterAutospacing="1"/>
        <w:rPr>
          <w:rFonts w:ascii="Times New Roman" w:eastAsia="Times New Roman" w:hAnsi="Times New Roman" w:cs="Times New Roman"/>
          <w:lang w:eastAsia="it-IT"/>
        </w:rPr>
      </w:pPr>
      <w:r w:rsidRPr="00FE51D3">
        <w:rPr>
          <w:rFonts w:ascii="Capitolium" w:eastAsia="Times New Roman" w:hAnsi="Capitolium" w:cs="Times New Roman"/>
          <w:lang w:eastAsia="it-IT"/>
        </w:rPr>
        <w:t xml:space="preserve">3. Nei Tessuti di cui al comma 2 sono sempre consentiti gli interventi di categoria MO, MS, RC, RE1, come definiti dall’art. 9. Gli interventi di categoria RE2, RE3, DR, AMP, NE, come definiti dall’art. 9, sono consentiti nei casi e alle condizioni stabilite nelle norme di tessuto e alle seguenti condizioni generali: </w:t>
      </w:r>
    </w:p>
    <w:p w14:paraId="0BFFAB5C" w14:textId="77777777" w:rsidR="00FE51D3" w:rsidRPr="00FE51D3" w:rsidRDefault="00FE51D3" w:rsidP="00FE51D3">
      <w:pPr>
        <w:spacing w:before="100" w:beforeAutospacing="1" w:after="100" w:afterAutospacing="1"/>
        <w:rPr>
          <w:rFonts w:ascii="Times New Roman" w:eastAsia="Times New Roman" w:hAnsi="Times New Roman" w:cs="Times New Roman"/>
          <w:lang w:eastAsia="it-IT"/>
        </w:rPr>
      </w:pPr>
      <w:r w:rsidRPr="00FE51D3">
        <w:rPr>
          <w:rFonts w:ascii="Capitolium" w:eastAsia="Times New Roman" w:hAnsi="Capitolium" w:cs="Times New Roman"/>
          <w:lang w:eastAsia="it-IT"/>
        </w:rPr>
        <w:t xml:space="preserve">a) gli interventi di categoria RE2, RE3, DR, AMP, sono consentiti su edifici privi di valore storico-architettonico, non tutelati ai sensi del D.LGT n. 42/2004 e non individuati nella Carta per la </w:t>
      </w:r>
      <w:proofErr w:type="spellStart"/>
      <w:r w:rsidRPr="00FE51D3">
        <w:rPr>
          <w:rFonts w:ascii="Capitolium" w:eastAsia="Times New Roman" w:hAnsi="Capitolium" w:cs="Times New Roman"/>
          <w:lang w:eastAsia="it-IT"/>
        </w:rPr>
        <w:t>qualita</w:t>
      </w:r>
      <w:proofErr w:type="spellEnd"/>
      <w:r w:rsidRPr="00FE51D3">
        <w:rPr>
          <w:rFonts w:ascii="Capitolium" w:eastAsia="Times New Roman" w:hAnsi="Capitolium" w:cs="Times New Roman"/>
          <w:lang w:eastAsia="it-IT"/>
        </w:rPr>
        <w:t xml:space="preserve">̀; </w:t>
      </w:r>
    </w:p>
    <w:p w14:paraId="6A5D9A9F" w14:textId="21F48949" w:rsidR="00FE51D3" w:rsidRPr="00FE51D3" w:rsidRDefault="00FE51D3" w:rsidP="00FE51D3">
      <w:pPr>
        <w:spacing w:before="100" w:beforeAutospacing="1" w:after="100" w:afterAutospacing="1"/>
        <w:rPr>
          <w:rFonts w:ascii="Times New Roman" w:eastAsia="Times New Roman" w:hAnsi="Times New Roman" w:cs="Times New Roman"/>
          <w:lang w:eastAsia="it-IT"/>
        </w:rPr>
      </w:pPr>
      <w:r w:rsidRPr="00FE51D3">
        <w:rPr>
          <w:rFonts w:ascii="Capitolium" w:eastAsia="Times New Roman" w:hAnsi="Capitolium" w:cs="Times New Roman"/>
          <w:lang w:eastAsia="it-IT"/>
        </w:rPr>
        <w:t xml:space="preserve">b) gli interventi di categoria NE sono consentiti su lotti </w:t>
      </w:r>
      <w:proofErr w:type="spellStart"/>
      <w:r w:rsidRPr="00FE51D3">
        <w:rPr>
          <w:rFonts w:ascii="Capitolium" w:eastAsia="Times New Roman" w:hAnsi="Capitolium" w:cs="Times New Roman"/>
          <w:lang w:eastAsia="it-IT"/>
        </w:rPr>
        <w:t>gia</w:t>
      </w:r>
      <w:proofErr w:type="spellEnd"/>
      <w:r w:rsidRPr="00FE51D3">
        <w:rPr>
          <w:rFonts w:ascii="Capitolium" w:eastAsia="Times New Roman" w:hAnsi="Capitolium" w:cs="Times New Roman"/>
          <w:lang w:eastAsia="it-IT"/>
        </w:rPr>
        <w:t xml:space="preserve">̀ edificati o edificabili secondo le </w:t>
      </w:r>
      <w:proofErr w:type="spellStart"/>
      <w:r w:rsidRPr="00FE51D3">
        <w:rPr>
          <w:rFonts w:ascii="Capitolium" w:eastAsia="Times New Roman" w:hAnsi="Capitolium" w:cs="Times New Roman"/>
          <w:lang w:eastAsia="it-IT"/>
        </w:rPr>
        <w:t>pre</w:t>
      </w:r>
      <w:proofErr w:type="spellEnd"/>
      <w:r w:rsidRPr="00FE51D3">
        <w:rPr>
          <w:rFonts w:ascii="Capitolium" w:eastAsia="Times New Roman" w:hAnsi="Capitolium" w:cs="Times New Roman"/>
          <w:lang w:eastAsia="it-IT"/>
        </w:rPr>
        <w:t xml:space="preserve">-vigenti destinazioni urbanisti- che, senza aumento della SUL e del </w:t>
      </w:r>
      <w:proofErr w:type="spellStart"/>
      <w:r w:rsidRPr="00FE51D3">
        <w:rPr>
          <w:rFonts w:ascii="Capitolium" w:eastAsia="Times New Roman" w:hAnsi="Capitolium" w:cs="Times New Roman"/>
          <w:lang w:eastAsia="it-IT"/>
        </w:rPr>
        <w:t>Vft</w:t>
      </w:r>
      <w:proofErr w:type="spellEnd"/>
      <w:r w:rsidRPr="00FE51D3">
        <w:rPr>
          <w:rFonts w:ascii="Capitolium" w:eastAsia="Times New Roman" w:hAnsi="Capitolium" w:cs="Times New Roman"/>
          <w:lang w:eastAsia="it-IT"/>
        </w:rPr>
        <w:t xml:space="preserve"> rispettivamente preesistenti o ammissibili. </w:t>
      </w:r>
    </w:p>
    <w:p w14:paraId="220E9F66" w14:textId="63C544FD" w:rsidR="00FE51D3" w:rsidRPr="00FE51D3" w:rsidRDefault="00FE51D3" w:rsidP="00FE51D3">
      <w:pPr>
        <w:spacing w:before="100" w:beforeAutospacing="1" w:after="100" w:afterAutospacing="1"/>
        <w:rPr>
          <w:rFonts w:ascii="Times New Roman" w:eastAsia="Times New Roman" w:hAnsi="Times New Roman" w:cs="Times New Roman"/>
          <w:lang w:eastAsia="it-IT"/>
        </w:rPr>
      </w:pPr>
      <w:r w:rsidRPr="00FE51D3">
        <w:rPr>
          <w:rFonts w:ascii="Capitolium" w:eastAsia="Times New Roman" w:hAnsi="Capitolium" w:cs="Times New Roman"/>
          <w:lang w:eastAsia="it-IT"/>
        </w:rPr>
        <w:t xml:space="preserve">4. Gli interventi di cui al comma 3 si attuano con le seguenti </w:t>
      </w:r>
      <w:proofErr w:type="spellStart"/>
      <w:r w:rsidRPr="00FE51D3">
        <w:rPr>
          <w:rFonts w:ascii="Capitolium" w:eastAsia="Times New Roman" w:hAnsi="Capitolium" w:cs="Times New Roman"/>
          <w:lang w:eastAsia="it-IT"/>
        </w:rPr>
        <w:t>modalita</w:t>
      </w:r>
      <w:proofErr w:type="spellEnd"/>
      <w:r w:rsidRPr="00FE51D3">
        <w:rPr>
          <w:rFonts w:ascii="Capitolium" w:eastAsia="Times New Roman" w:hAnsi="Capitolium" w:cs="Times New Roman"/>
          <w:lang w:eastAsia="it-IT"/>
        </w:rPr>
        <w:t>̀:</w:t>
      </w:r>
      <w:r w:rsidRPr="00FE51D3">
        <w:rPr>
          <w:rFonts w:ascii="Capitolium" w:eastAsia="Times New Roman" w:hAnsi="Capitolium" w:cs="Times New Roman"/>
          <w:lang w:eastAsia="it-IT"/>
        </w:rPr>
        <w:br/>
        <w:t xml:space="preserve">a) gli interventi di categoria MO, MS, RC, RE, si attuano con </w:t>
      </w:r>
      <w:proofErr w:type="spellStart"/>
      <w:r w:rsidRPr="00FE51D3">
        <w:rPr>
          <w:rFonts w:ascii="Capitolium" w:eastAsia="Times New Roman" w:hAnsi="Capitolium" w:cs="Times New Roman"/>
          <w:lang w:eastAsia="it-IT"/>
        </w:rPr>
        <w:t>modalita</w:t>
      </w:r>
      <w:proofErr w:type="spellEnd"/>
      <w:r w:rsidRPr="00FE51D3">
        <w:rPr>
          <w:rFonts w:ascii="Capitolium" w:eastAsia="Times New Roman" w:hAnsi="Capitolium" w:cs="Times New Roman"/>
          <w:lang w:eastAsia="it-IT"/>
        </w:rPr>
        <w:t>̀ diretta;</w:t>
      </w:r>
      <w:r w:rsidRPr="00FE51D3">
        <w:rPr>
          <w:rFonts w:ascii="Capitolium" w:eastAsia="Times New Roman" w:hAnsi="Capitolium" w:cs="Times New Roman"/>
          <w:lang w:eastAsia="it-IT"/>
        </w:rPr>
        <w:br/>
        <w:t xml:space="preserve">b) gli interventi di categoria DR, AMP, NE, si attuano con </w:t>
      </w:r>
      <w:proofErr w:type="spellStart"/>
      <w:r w:rsidRPr="00FE51D3">
        <w:rPr>
          <w:rFonts w:ascii="Capitolium" w:eastAsia="Times New Roman" w:hAnsi="Capitolium" w:cs="Times New Roman"/>
          <w:lang w:eastAsia="it-IT"/>
        </w:rPr>
        <w:t>modalita</w:t>
      </w:r>
      <w:proofErr w:type="spellEnd"/>
      <w:r w:rsidRPr="00FE51D3">
        <w:rPr>
          <w:rFonts w:ascii="Capitolium" w:eastAsia="Times New Roman" w:hAnsi="Capitolium" w:cs="Times New Roman"/>
          <w:lang w:eastAsia="it-IT"/>
        </w:rPr>
        <w:t xml:space="preserve">̀ diretta, ovvero con </w:t>
      </w:r>
      <w:proofErr w:type="spellStart"/>
      <w:r w:rsidRPr="00FE51D3">
        <w:rPr>
          <w:rFonts w:ascii="Capitolium" w:eastAsia="Times New Roman" w:hAnsi="Capitolium" w:cs="Times New Roman"/>
          <w:lang w:eastAsia="it-IT"/>
        </w:rPr>
        <w:t>modalita</w:t>
      </w:r>
      <w:proofErr w:type="spellEnd"/>
      <w:r w:rsidRPr="00FE51D3">
        <w:rPr>
          <w:rFonts w:ascii="Capitolium" w:eastAsia="Times New Roman" w:hAnsi="Capitolium" w:cs="Times New Roman"/>
          <w:lang w:eastAsia="it-IT"/>
        </w:rPr>
        <w:t xml:space="preserve">̀ indiretta, se estesi a </w:t>
      </w:r>
      <w:proofErr w:type="spellStart"/>
      <w:r w:rsidRPr="00FE51D3">
        <w:rPr>
          <w:rFonts w:ascii="Capitolium" w:eastAsia="Times New Roman" w:hAnsi="Capitolium" w:cs="Times New Roman"/>
          <w:lang w:eastAsia="it-IT"/>
        </w:rPr>
        <w:t>piu</w:t>
      </w:r>
      <w:proofErr w:type="spellEnd"/>
      <w:r w:rsidRPr="00FE51D3">
        <w:rPr>
          <w:rFonts w:ascii="Capitolium" w:eastAsia="Times New Roman" w:hAnsi="Capitolium" w:cs="Times New Roman"/>
          <w:lang w:eastAsia="it-IT"/>
        </w:rPr>
        <w:t>̀ edifici e lotti contigui o se relativi a edifici realizzati prima del 1931;</w:t>
      </w:r>
      <w:r w:rsidRPr="00FE51D3">
        <w:rPr>
          <w:rFonts w:ascii="Capitolium" w:eastAsia="Times New Roman" w:hAnsi="Capitolium" w:cs="Times New Roman"/>
          <w:lang w:eastAsia="it-IT"/>
        </w:rPr>
        <w:br/>
        <w:t xml:space="preserve">c) gli interventi di categoria RE, DR, AMP, se attuati con </w:t>
      </w:r>
      <w:proofErr w:type="spellStart"/>
      <w:r w:rsidRPr="00FE51D3">
        <w:rPr>
          <w:rFonts w:ascii="Capitolium" w:eastAsia="Times New Roman" w:hAnsi="Capitolium" w:cs="Times New Roman"/>
          <w:lang w:eastAsia="it-IT"/>
        </w:rPr>
        <w:t>modalita</w:t>
      </w:r>
      <w:proofErr w:type="spellEnd"/>
      <w:r w:rsidRPr="00FE51D3">
        <w:rPr>
          <w:rFonts w:ascii="Capitolium" w:eastAsia="Times New Roman" w:hAnsi="Capitolium" w:cs="Times New Roman"/>
          <w:lang w:eastAsia="it-IT"/>
        </w:rPr>
        <w:t>̀ indiretta ed estesi ad interi isolati o fronti di isolato, sono incentivati con un incremento di SUL fino al 10%, in aggiunta</w:t>
      </w:r>
      <w:r w:rsidR="009D72FB">
        <w:rPr>
          <w:rFonts w:ascii="Capitolium" w:eastAsia="Times New Roman" w:hAnsi="Capitolium" w:cs="Times New Roman"/>
          <w:lang w:eastAsia="it-IT"/>
        </w:rPr>
        <w:t xml:space="preserve"> </w:t>
      </w:r>
      <w:r w:rsidRPr="00FE51D3">
        <w:rPr>
          <w:rFonts w:ascii="Capitolium" w:eastAsia="Times New Roman" w:hAnsi="Capitolium" w:cs="Times New Roman"/>
          <w:lang w:eastAsia="it-IT"/>
        </w:rPr>
        <w:t xml:space="preserve">agli incentivi </w:t>
      </w:r>
      <w:proofErr w:type="spellStart"/>
      <w:r w:rsidRPr="00FE51D3">
        <w:rPr>
          <w:rFonts w:ascii="Capitolium" w:eastAsia="Times New Roman" w:hAnsi="Capitolium" w:cs="Times New Roman"/>
          <w:lang w:eastAsia="it-IT"/>
        </w:rPr>
        <w:t>gia</w:t>
      </w:r>
      <w:proofErr w:type="spellEnd"/>
      <w:r w:rsidRPr="00FE51D3">
        <w:rPr>
          <w:rFonts w:ascii="Capitolium" w:eastAsia="Times New Roman" w:hAnsi="Capitolium" w:cs="Times New Roman"/>
          <w:lang w:eastAsia="it-IT"/>
        </w:rPr>
        <w:t xml:space="preserve">̀ previsti con </w:t>
      </w:r>
      <w:proofErr w:type="spellStart"/>
      <w:r w:rsidRPr="00FE51D3">
        <w:rPr>
          <w:rFonts w:ascii="Capitolium" w:eastAsia="Times New Roman" w:hAnsi="Capitolium" w:cs="Times New Roman"/>
          <w:lang w:eastAsia="it-IT"/>
        </w:rPr>
        <w:t>modalita</w:t>
      </w:r>
      <w:proofErr w:type="spellEnd"/>
      <w:r w:rsidRPr="00FE51D3">
        <w:rPr>
          <w:rFonts w:ascii="Capitolium" w:eastAsia="Times New Roman" w:hAnsi="Capitolium" w:cs="Times New Roman"/>
          <w:lang w:eastAsia="it-IT"/>
        </w:rPr>
        <w:t xml:space="preserve">̀ diretta. </w:t>
      </w:r>
    </w:p>
    <w:p w14:paraId="2698F9DD" w14:textId="77777777" w:rsidR="009D72FB" w:rsidRDefault="00FE51D3" w:rsidP="009D72FB">
      <w:pPr>
        <w:rPr>
          <w:rFonts w:ascii="Times New Roman" w:hAnsi="Times New Roman"/>
          <w:lang w:eastAsia="it-IT"/>
        </w:rPr>
      </w:pPr>
      <w:r w:rsidRPr="00FE51D3">
        <w:rPr>
          <w:lang w:eastAsia="it-IT"/>
        </w:rPr>
        <w:t>5. Nei Tessuti della Città consolidata sono consentite, salvo ulteriori limitazioni fissate dalla specifica disciplina di tessuto, le seguenti destinazioni d’uso, come definite dall’art. 6:</w:t>
      </w:r>
      <w:r w:rsidRPr="00FE51D3">
        <w:rPr>
          <w:lang w:eastAsia="it-IT"/>
        </w:rPr>
        <w:br/>
        <w:t xml:space="preserve">a) Abitative; </w:t>
      </w:r>
    </w:p>
    <w:p w14:paraId="06830407" w14:textId="77777777" w:rsidR="009D72FB" w:rsidRDefault="00FE51D3" w:rsidP="009D72FB">
      <w:pPr>
        <w:rPr>
          <w:lang w:eastAsia="it-IT"/>
        </w:rPr>
      </w:pPr>
      <w:r w:rsidRPr="00FE51D3">
        <w:rPr>
          <w:lang w:eastAsia="it-IT"/>
        </w:rPr>
        <w:t>b) Commerciali, con esclusione delle destinazioni a CU/a;</w:t>
      </w:r>
      <w:r w:rsidRPr="00FE51D3">
        <w:rPr>
          <w:lang w:eastAsia="it-IT"/>
        </w:rPr>
        <w:br/>
        <w:t>c) Servizi;</w:t>
      </w:r>
      <w:r w:rsidRPr="00FE51D3">
        <w:rPr>
          <w:lang w:eastAsia="it-IT"/>
        </w:rPr>
        <w:br/>
        <w:t>d) Turistico-ricettive, limitatamente a “strutture ricettive alberghiere ed extra-alberghiere”;</w:t>
      </w:r>
      <w:r w:rsidRPr="00FE51D3">
        <w:rPr>
          <w:lang w:eastAsia="it-IT"/>
        </w:rPr>
        <w:br/>
        <w:t xml:space="preserve">e) Produttive, limitatamente ad “artigianato produttivo”; </w:t>
      </w:r>
    </w:p>
    <w:p w14:paraId="43DF74E1" w14:textId="65BFB4AB" w:rsidR="00FE51D3" w:rsidRPr="00FE51D3" w:rsidRDefault="00FE51D3" w:rsidP="009D72FB">
      <w:pPr>
        <w:rPr>
          <w:rFonts w:ascii="Times New Roman" w:hAnsi="Times New Roman"/>
          <w:lang w:eastAsia="it-IT"/>
        </w:rPr>
      </w:pPr>
      <w:r w:rsidRPr="00FE51D3">
        <w:rPr>
          <w:lang w:eastAsia="it-IT"/>
        </w:rPr>
        <w:t xml:space="preserve">f) Parcheggi non pertinenziali. </w:t>
      </w:r>
    </w:p>
    <w:p w14:paraId="4646C6D8" w14:textId="73B2613F" w:rsidR="00FE51D3" w:rsidRPr="00FE51D3" w:rsidRDefault="00FE51D3" w:rsidP="00FE51D3">
      <w:pPr>
        <w:spacing w:before="100" w:beforeAutospacing="1" w:after="100" w:afterAutospacing="1"/>
        <w:rPr>
          <w:rFonts w:ascii="Times New Roman" w:eastAsia="Times New Roman" w:hAnsi="Times New Roman" w:cs="Times New Roman"/>
          <w:lang w:eastAsia="it-IT"/>
        </w:rPr>
      </w:pPr>
      <w:r w:rsidRPr="00FE51D3">
        <w:rPr>
          <w:rFonts w:ascii="Capitolium" w:eastAsia="Times New Roman" w:hAnsi="Capitolium" w:cs="Times New Roman"/>
          <w:lang w:eastAsia="it-IT"/>
        </w:rPr>
        <w:t xml:space="preserve">6. L’insediamento di destinazioni d’uso a CU/a e i cambi di destinazione d’uso verso “abitazioni singole” sono subordinati all’approvazione di un Piano di recupero, ai sensi </w:t>
      </w:r>
      <w:r w:rsidRPr="00FE51D3">
        <w:rPr>
          <w:rFonts w:ascii="Capitolium" w:eastAsia="Times New Roman" w:hAnsi="Capitolium" w:cs="Times New Roman"/>
          <w:lang w:eastAsia="it-IT"/>
        </w:rPr>
        <w:lastRenderedPageBreak/>
        <w:t xml:space="preserve">dell’art. 28, legge n. 457/1978, o altro strumento urbanistico esecutivo; i cambi di destinazione d’uso verso “abitazioni singole” devono essere previsti all’interno di interventi di categoria RE, DR, AMP, estesi a intere unità edilizie, di cui almeno il 30% in termini di SUL deve essere riservato alle destinazioni “abitazioni collettive”, “servizi alle persone” e “attrezzature collettive”. Sia per le destinazioni a CU/a, escluse le “attrezzature collettive”, sia per le destinazioni “abitazioni singole”, escluse quelle con </w:t>
      </w:r>
      <w:proofErr w:type="spellStart"/>
      <w:r w:rsidRPr="00FE51D3">
        <w:rPr>
          <w:rFonts w:ascii="Capitolium" w:eastAsia="Times New Roman" w:hAnsi="Capitolium" w:cs="Times New Roman"/>
          <w:lang w:eastAsia="it-IT"/>
        </w:rPr>
        <w:t>finalita</w:t>
      </w:r>
      <w:proofErr w:type="spellEnd"/>
      <w:r w:rsidRPr="00FE51D3">
        <w:rPr>
          <w:rFonts w:ascii="Capitolium" w:eastAsia="Times New Roman" w:hAnsi="Capitolium" w:cs="Times New Roman"/>
          <w:lang w:eastAsia="it-IT"/>
        </w:rPr>
        <w:t xml:space="preserve">̀ sociali e a prezzo convenzionato, gli interventi sono soggetti al contributo straordinario di cui all’art. 20. </w:t>
      </w:r>
    </w:p>
    <w:p w14:paraId="51E8C7B8" w14:textId="77777777" w:rsidR="00FE51D3" w:rsidRPr="00FE51D3" w:rsidRDefault="00FE51D3" w:rsidP="00FE51D3">
      <w:pPr>
        <w:pStyle w:val="NormaleWeb"/>
      </w:pPr>
      <w:r w:rsidRPr="00FE51D3">
        <w:rPr>
          <w:rFonts w:ascii="Capitolium" w:hAnsi="Capitolium"/>
        </w:rPr>
        <w:t xml:space="preserve">7. I cambi di destinazione d’uso verso “abitazioni singole” sono </w:t>
      </w:r>
      <w:proofErr w:type="spellStart"/>
      <w:r w:rsidRPr="00FE51D3">
        <w:rPr>
          <w:rFonts w:ascii="Capitolium" w:hAnsi="Capitolium"/>
        </w:rPr>
        <w:t>altresi</w:t>
      </w:r>
      <w:proofErr w:type="spellEnd"/>
      <w:r w:rsidRPr="00FE51D3">
        <w:rPr>
          <w:rFonts w:ascii="Capitolium" w:hAnsi="Capitolium"/>
        </w:rPr>
        <w:t xml:space="preserve">̀ consentiti, per intervento diretto, nei seguenti casi: </w:t>
      </w:r>
    </w:p>
    <w:p w14:paraId="1B2ED607" w14:textId="7B3AAC19" w:rsidR="00FE51D3" w:rsidRPr="00FE51D3" w:rsidRDefault="00FE51D3" w:rsidP="009D72FB">
      <w:pPr>
        <w:pStyle w:val="NormaleWeb"/>
        <w:numPr>
          <w:ilvl w:val="0"/>
          <w:numId w:val="3"/>
        </w:numPr>
      </w:pPr>
      <w:r w:rsidRPr="00FE51D3">
        <w:rPr>
          <w:rFonts w:ascii="Capitolium" w:hAnsi="Capitolium"/>
        </w:rPr>
        <w:t>a)  ripristino di “abitazioni singole” in edifici a tipologia resi</w:t>
      </w:r>
      <w:r w:rsidRPr="009D72FB">
        <w:rPr>
          <w:rFonts w:ascii="Capitolium" w:hAnsi="Capitolium"/>
        </w:rPr>
        <w:t xml:space="preserve">denziale; </w:t>
      </w:r>
    </w:p>
    <w:p w14:paraId="0FDA5149" w14:textId="281407FF" w:rsidR="00FE51D3" w:rsidRPr="00FE51D3" w:rsidRDefault="00FE51D3" w:rsidP="009D72FB">
      <w:pPr>
        <w:pStyle w:val="NormaleWeb"/>
        <w:numPr>
          <w:ilvl w:val="0"/>
          <w:numId w:val="3"/>
        </w:numPr>
      </w:pPr>
      <w:r w:rsidRPr="00FE51D3">
        <w:rPr>
          <w:rFonts w:ascii="Capitolium" w:hAnsi="Capitolium"/>
        </w:rPr>
        <w:t>b)  insediamento di “abitazioni singole” in edifici a tipologia spe</w:t>
      </w:r>
      <w:r w:rsidRPr="009D72FB">
        <w:rPr>
          <w:rFonts w:ascii="Capitolium" w:hAnsi="Capitolium"/>
        </w:rPr>
        <w:t xml:space="preserve">ciale – </w:t>
      </w:r>
      <w:proofErr w:type="spellStart"/>
      <w:r w:rsidRPr="009D72FB">
        <w:rPr>
          <w:rFonts w:ascii="Capitolium" w:hAnsi="Capitolium"/>
        </w:rPr>
        <w:t>cioe</w:t>
      </w:r>
      <w:proofErr w:type="spellEnd"/>
      <w:r w:rsidRPr="009D72FB">
        <w:rPr>
          <w:rFonts w:ascii="Capitolium" w:hAnsi="Capitolium"/>
        </w:rPr>
        <w:t xml:space="preserve">̀ non rientranti nella definizione tipo-morfologica dei tessuti e a destinazione d’uso non abitativa –, fino al 30% della SUL dell’unità edilizia e nell’ambito di interventi di categoria RE, DR o AMP; </w:t>
      </w:r>
    </w:p>
    <w:p w14:paraId="5A5C976D" w14:textId="11932444" w:rsidR="00FE51D3" w:rsidRPr="00FE51D3" w:rsidRDefault="00FE51D3" w:rsidP="00FE51D3">
      <w:pPr>
        <w:spacing w:before="100" w:beforeAutospacing="1" w:after="100" w:afterAutospacing="1"/>
        <w:rPr>
          <w:rFonts w:ascii="Times New Roman" w:eastAsia="Times New Roman" w:hAnsi="Times New Roman" w:cs="Times New Roman"/>
          <w:lang w:eastAsia="it-IT"/>
        </w:rPr>
      </w:pPr>
      <w:r w:rsidRPr="00FE51D3">
        <w:rPr>
          <w:rFonts w:ascii="Capitolium" w:eastAsia="Times New Roman" w:hAnsi="Capitolium" w:cs="Times New Roman"/>
          <w:lang w:eastAsia="it-IT"/>
        </w:rPr>
        <w:t>c) insediamento di “abitazioni singole” in misura equivalente a contestuali cambi di destinazione d’uso, nello stesso tessuto, - da “abitazioni singole” verso altre destinazioni ovvero da fu</w:t>
      </w:r>
      <w:r w:rsidR="009D72FB">
        <w:rPr>
          <w:rFonts w:ascii="Capitolium" w:eastAsia="Times New Roman" w:hAnsi="Capitolium" w:cs="Times New Roman"/>
          <w:lang w:eastAsia="it-IT"/>
        </w:rPr>
        <w:t>n</w:t>
      </w:r>
      <w:r w:rsidRPr="00FE51D3">
        <w:rPr>
          <w:rFonts w:ascii="Capitolium" w:eastAsia="Times New Roman" w:hAnsi="Capitolium" w:cs="Times New Roman"/>
          <w:lang w:eastAsia="it-IT"/>
        </w:rPr>
        <w:t xml:space="preserve">zioni non abitative verso le destinazioni “abitazioni collettive”, “servizi alle persone” e “attrezzature collettive”. - </w:t>
      </w:r>
    </w:p>
    <w:p w14:paraId="2D2A1EBE" w14:textId="5A4EF5A5" w:rsidR="00FE51D3" w:rsidRPr="00FE51D3" w:rsidRDefault="00FE51D3" w:rsidP="00FE51D3">
      <w:pPr>
        <w:spacing w:before="100" w:beforeAutospacing="1" w:after="100" w:afterAutospacing="1"/>
        <w:rPr>
          <w:rFonts w:ascii="Times New Roman" w:eastAsia="Times New Roman" w:hAnsi="Times New Roman" w:cs="Times New Roman"/>
          <w:lang w:eastAsia="it-IT"/>
        </w:rPr>
      </w:pPr>
      <w:r w:rsidRPr="00FE51D3">
        <w:rPr>
          <w:rFonts w:ascii="Capitolium" w:eastAsia="Times New Roman" w:hAnsi="Capitolium" w:cs="Times New Roman"/>
          <w:lang w:eastAsia="it-IT"/>
        </w:rPr>
        <w:t xml:space="preserve">8. Nei Tessuti della Città consolidata sono ammessi frazionamenti a fini residenziali delle attuali unità immobiliari, pur- ché compatibili con la tipologia edilizia e </w:t>
      </w:r>
      <w:proofErr w:type="spellStart"/>
      <w:r w:rsidRPr="00FE51D3">
        <w:rPr>
          <w:rFonts w:ascii="Capitolium" w:eastAsia="Times New Roman" w:hAnsi="Capitolium" w:cs="Times New Roman"/>
          <w:lang w:eastAsia="it-IT"/>
        </w:rPr>
        <w:t>purche</w:t>
      </w:r>
      <w:proofErr w:type="spellEnd"/>
      <w:r w:rsidRPr="00FE51D3">
        <w:rPr>
          <w:rFonts w:ascii="Capitolium" w:eastAsia="Times New Roman" w:hAnsi="Capitolium" w:cs="Times New Roman"/>
          <w:lang w:eastAsia="it-IT"/>
        </w:rPr>
        <w:t>́ non riduca-</w:t>
      </w:r>
      <w:r w:rsidRPr="00FE51D3">
        <w:rPr>
          <w:rFonts w:ascii="Capitolium" w:eastAsia="Times New Roman" w:hAnsi="Capitolium" w:cs="Times New Roman"/>
          <w:lang w:eastAsia="it-IT"/>
        </w:rPr>
        <w:br/>
        <w:t xml:space="preserve">no le parti comuni dell’edificio; per tali interventi di frazionamento si applica il limite minimo di 45 mq di SUL per singola unità abitativa. </w:t>
      </w:r>
    </w:p>
    <w:p w14:paraId="5DAE622F" w14:textId="4F424736" w:rsidR="00FE51D3" w:rsidRPr="00FE51D3" w:rsidRDefault="00FE51D3" w:rsidP="00FE51D3">
      <w:pPr>
        <w:pStyle w:val="NormaleWeb"/>
      </w:pPr>
      <w:r w:rsidRPr="00FE51D3">
        <w:rPr>
          <w:rFonts w:ascii="Capitolium" w:hAnsi="Capitolium"/>
        </w:rPr>
        <w:t xml:space="preserve">9. Nelle aree libere non gravate da vincolo di pertinenza a favore di edifici circostanti, è possibile realizzare autorimesse e parcheggi interrati e a raso e aree attrezzate per il tempo libero, come di seguito specificato: </w:t>
      </w:r>
    </w:p>
    <w:p w14:paraId="05F99217" w14:textId="77777777" w:rsidR="00FE51D3" w:rsidRPr="00FE51D3" w:rsidRDefault="00FE51D3" w:rsidP="00FE51D3">
      <w:pPr>
        <w:pStyle w:val="NormaleWeb"/>
        <w:numPr>
          <w:ilvl w:val="0"/>
          <w:numId w:val="4"/>
        </w:numPr>
      </w:pPr>
      <w:r w:rsidRPr="00FE51D3">
        <w:rPr>
          <w:rFonts w:ascii="Capitolium" w:hAnsi="Capitolium"/>
        </w:rPr>
        <w:t xml:space="preserve">-  la superficie da destinare a parcheggi o ad autorimesse e alle relative rampe di accesso non </w:t>
      </w:r>
      <w:proofErr w:type="spellStart"/>
      <w:r w:rsidRPr="00FE51D3">
        <w:rPr>
          <w:rFonts w:ascii="Capitolium" w:hAnsi="Capitolium"/>
        </w:rPr>
        <w:t>dovra</w:t>
      </w:r>
      <w:proofErr w:type="spellEnd"/>
      <w:r w:rsidRPr="00FE51D3">
        <w:rPr>
          <w:rFonts w:ascii="Capitolium" w:hAnsi="Capitolium"/>
        </w:rPr>
        <w:t xml:space="preserve">̀ superare il 70% della super- </w:t>
      </w:r>
      <w:proofErr w:type="spellStart"/>
      <w:r w:rsidRPr="00FE51D3">
        <w:rPr>
          <w:rFonts w:ascii="Capitolium" w:hAnsi="Capitolium"/>
        </w:rPr>
        <w:t>ficie</w:t>
      </w:r>
      <w:proofErr w:type="spellEnd"/>
      <w:r w:rsidRPr="00FE51D3">
        <w:rPr>
          <w:rFonts w:ascii="Capitolium" w:hAnsi="Capitolium"/>
        </w:rPr>
        <w:t xml:space="preserve"> libera disponibile per aree fino a mq 3.000, il 60% per aree superiori a mq 3.000; la copertura dell’autorimessa o del par- </w:t>
      </w:r>
      <w:proofErr w:type="spellStart"/>
      <w:r w:rsidRPr="00FE51D3">
        <w:rPr>
          <w:rFonts w:ascii="Capitolium" w:hAnsi="Capitolium"/>
        </w:rPr>
        <w:t>cheggio</w:t>
      </w:r>
      <w:proofErr w:type="spellEnd"/>
      <w:r w:rsidRPr="00FE51D3">
        <w:rPr>
          <w:rFonts w:ascii="Capitolium" w:hAnsi="Capitolium"/>
        </w:rPr>
        <w:t xml:space="preserve"> </w:t>
      </w:r>
      <w:proofErr w:type="spellStart"/>
      <w:r w:rsidRPr="00FE51D3">
        <w:rPr>
          <w:rFonts w:ascii="Capitolium" w:hAnsi="Capitolium"/>
        </w:rPr>
        <w:t>dovra</w:t>
      </w:r>
      <w:proofErr w:type="spellEnd"/>
      <w:r w:rsidRPr="00FE51D3">
        <w:rPr>
          <w:rFonts w:ascii="Capitolium" w:hAnsi="Capitolium"/>
        </w:rPr>
        <w:t xml:space="preserve">̀ essere sistemata a giardino pensile con un manto vegetale di spessore non inferiore a cm 60; la restante parte dell’area </w:t>
      </w:r>
      <w:proofErr w:type="spellStart"/>
      <w:r w:rsidRPr="00FE51D3">
        <w:rPr>
          <w:rFonts w:ascii="Capitolium" w:hAnsi="Capitolium"/>
        </w:rPr>
        <w:t>dovra</w:t>
      </w:r>
      <w:proofErr w:type="spellEnd"/>
      <w:r w:rsidRPr="00FE51D3">
        <w:rPr>
          <w:rFonts w:ascii="Capitolium" w:hAnsi="Capitolium"/>
        </w:rPr>
        <w:t xml:space="preserve">̀ essere permeabile e attrezzata a giardino con alberi ad alto fusto di altezza non inferiore a m. 3,00 e con un </w:t>
      </w:r>
      <w:proofErr w:type="spellStart"/>
      <w:r w:rsidRPr="00FE51D3">
        <w:rPr>
          <w:rFonts w:ascii="Capitolium" w:hAnsi="Capitolium"/>
        </w:rPr>
        <w:t>densita</w:t>
      </w:r>
      <w:proofErr w:type="spellEnd"/>
      <w:r w:rsidRPr="00FE51D3">
        <w:rPr>
          <w:rFonts w:ascii="Capitolium" w:hAnsi="Capitolium"/>
        </w:rPr>
        <w:t xml:space="preserve">̀ di piantumazione DA pari a 1 albero/80 mq; </w:t>
      </w:r>
    </w:p>
    <w:p w14:paraId="52662B8F" w14:textId="77777777" w:rsidR="00FE51D3" w:rsidRPr="00FE51D3" w:rsidRDefault="00FE51D3" w:rsidP="00FE51D3">
      <w:pPr>
        <w:pStyle w:val="NormaleWeb"/>
        <w:numPr>
          <w:ilvl w:val="0"/>
          <w:numId w:val="4"/>
        </w:numPr>
      </w:pPr>
      <w:r w:rsidRPr="00FE51D3">
        <w:rPr>
          <w:rFonts w:ascii="Capitolium" w:hAnsi="Capitolium"/>
        </w:rPr>
        <w:t xml:space="preserve">-  la superficie dell’area, per una quota minima del 60%, </w:t>
      </w:r>
      <w:proofErr w:type="spellStart"/>
      <w:r w:rsidRPr="00FE51D3">
        <w:rPr>
          <w:rFonts w:ascii="Capitolium" w:hAnsi="Capitolium"/>
        </w:rPr>
        <w:t>puo</w:t>
      </w:r>
      <w:proofErr w:type="spellEnd"/>
      <w:r w:rsidRPr="00FE51D3">
        <w:rPr>
          <w:rFonts w:ascii="Capitolium" w:hAnsi="Capitolium"/>
        </w:rPr>
        <w:t xml:space="preserve">̀ esse- re sistemata a giardino pubblico, con attrezzature sportive e ricreative all’aperto, utilizzando anche la copertura dell’autori- messa e dei parcheggi; in tal caso </w:t>
      </w:r>
      <w:proofErr w:type="spellStart"/>
      <w:r w:rsidRPr="00FE51D3">
        <w:rPr>
          <w:rFonts w:ascii="Capitolium" w:hAnsi="Capitolium"/>
        </w:rPr>
        <w:t>sara</w:t>
      </w:r>
      <w:proofErr w:type="spellEnd"/>
      <w:r w:rsidRPr="00FE51D3">
        <w:rPr>
          <w:rFonts w:ascii="Capitolium" w:hAnsi="Capitolium"/>
        </w:rPr>
        <w:t xml:space="preserve">̀ possibile realizzare un manufatto fuori terra di un solo piano di altezza massima pari a m. 3,50, da adibire funzioni commerciali e a servizi, per una SUL pari a 0,06 mq/mq, fino a un massimo di mq 150; </w:t>
      </w:r>
    </w:p>
    <w:p w14:paraId="34A1F76C" w14:textId="77777777" w:rsidR="00FE51D3" w:rsidRPr="00FE51D3" w:rsidRDefault="00FE51D3" w:rsidP="00FE51D3">
      <w:pPr>
        <w:pStyle w:val="NormaleWeb"/>
        <w:numPr>
          <w:ilvl w:val="0"/>
          <w:numId w:val="4"/>
        </w:numPr>
      </w:pPr>
      <w:r w:rsidRPr="00FE51D3">
        <w:rPr>
          <w:rFonts w:ascii="Capitolium" w:hAnsi="Capitolium"/>
        </w:rPr>
        <w:t xml:space="preserve">-  l’area da attrezzare </w:t>
      </w:r>
      <w:proofErr w:type="spellStart"/>
      <w:r w:rsidRPr="00FE51D3">
        <w:rPr>
          <w:rFonts w:ascii="Capitolium" w:hAnsi="Capitolium"/>
        </w:rPr>
        <w:t>dovra</w:t>
      </w:r>
      <w:proofErr w:type="spellEnd"/>
      <w:r w:rsidRPr="00FE51D3">
        <w:rPr>
          <w:rFonts w:ascii="Capitolium" w:hAnsi="Capitolium"/>
        </w:rPr>
        <w:t xml:space="preserve">̀ avere accesso diretto da una strada pubblica e </w:t>
      </w:r>
      <w:proofErr w:type="spellStart"/>
      <w:r w:rsidRPr="00FE51D3">
        <w:rPr>
          <w:rFonts w:ascii="Capitolium" w:hAnsi="Capitolium"/>
        </w:rPr>
        <w:t>dovra</w:t>
      </w:r>
      <w:proofErr w:type="spellEnd"/>
      <w:r w:rsidRPr="00FE51D3">
        <w:rPr>
          <w:rFonts w:ascii="Capitolium" w:hAnsi="Capitolium"/>
        </w:rPr>
        <w:t xml:space="preserve">̀ essere vincolata con atto d’obbligo notarile </w:t>
      </w:r>
    </w:p>
    <w:p w14:paraId="3800AA18" w14:textId="77777777" w:rsidR="00FE51D3" w:rsidRPr="00FE51D3" w:rsidRDefault="00FE51D3" w:rsidP="00FE51D3">
      <w:pPr>
        <w:pStyle w:val="Paragrafoelenco"/>
        <w:numPr>
          <w:ilvl w:val="0"/>
          <w:numId w:val="4"/>
        </w:numPr>
        <w:spacing w:before="100" w:beforeAutospacing="1" w:after="100" w:afterAutospacing="1"/>
        <w:rPr>
          <w:rFonts w:ascii="Times New Roman" w:eastAsia="Times New Roman" w:hAnsi="Times New Roman" w:cs="Times New Roman"/>
          <w:lang w:eastAsia="it-IT"/>
        </w:rPr>
      </w:pPr>
      <w:r w:rsidRPr="00FE51D3">
        <w:rPr>
          <w:rFonts w:ascii="Capitolium" w:eastAsia="Times New Roman" w:hAnsi="Capitolium" w:cs="Times New Roman"/>
          <w:lang w:eastAsia="it-IT"/>
        </w:rPr>
        <w:t xml:space="preserve">trascritto, che ne garantisca l’uso pubblico e la manutenzione </w:t>
      </w:r>
    </w:p>
    <w:p w14:paraId="0C8A1B29" w14:textId="77777777" w:rsidR="00FE51D3" w:rsidRPr="00FE51D3" w:rsidRDefault="00FE51D3" w:rsidP="00FE51D3">
      <w:pPr>
        <w:pStyle w:val="Paragrafoelenco"/>
        <w:numPr>
          <w:ilvl w:val="0"/>
          <w:numId w:val="4"/>
        </w:numPr>
        <w:spacing w:before="100" w:beforeAutospacing="1" w:after="100" w:afterAutospacing="1"/>
        <w:rPr>
          <w:rFonts w:ascii="Times New Roman" w:eastAsia="Times New Roman" w:hAnsi="Times New Roman" w:cs="Times New Roman"/>
          <w:lang w:eastAsia="it-IT"/>
        </w:rPr>
      </w:pPr>
      <w:r w:rsidRPr="00FE51D3">
        <w:rPr>
          <w:rFonts w:ascii="Capitolium" w:eastAsia="Times New Roman" w:hAnsi="Capitolium" w:cs="Times New Roman"/>
          <w:lang w:eastAsia="it-IT"/>
        </w:rPr>
        <w:t xml:space="preserve">da parte della </w:t>
      </w:r>
      <w:proofErr w:type="spellStart"/>
      <w:r w:rsidRPr="00FE51D3">
        <w:rPr>
          <w:rFonts w:ascii="Capitolium" w:eastAsia="Times New Roman" w:hAnsi="Capitolium" w:cs="Times New Roman"/>
          <w:lang w:eastAsia="it-IT"/>
        </w:rPr>
        <w:t>proprieta</w:t>
      </w:r>
      <w:proofErr w:type="spellEnd"/>
      <w:r w:rsidRPr="00FE51D3">
        <w:rPr>
          <w:rFonts w:ascii="Capitolium" w:eastAsia="Times New Roman" w:hAnsi="Capitolium" w:cs="Times New Roman"/>
          <w:lang w:eastAsia="it-IT"/>
        </w:rPr>
        <w:t>̀, per la durata dell’esercizio.</w:t>
      </w:r>
      <w:r w:rsidRPr="00FE51D3">
        <w:rPr>
          <w:rFonts w:ascii="Capitolium" w:eastAsia="Times New Roman" w:hAnsi="Capitolium" w:cs="Times New Roman"/>
          <w:lang w:eastAsia="it-IT"/>
        </w:rPr>
        <w:br/>
        <w:t xml:space="preserve">È possibile realizzare </w:t>
      </w:r>
      <w:proofErr w:type="spellStart"/>
      <w:r w:rsidRPr="00FE51D3">
        <w:rPr>
          <w:rFonts w:ascii="Capitolium" w:eastAsia="Times New Roman" w:hAnsi="Capitolium" w:cs="Times New Roman"/>
          <w:lang w:eastAsia="it-IT"/>
        </w:rPr>
        <w:t>altresi</w:t>
      </w:r>
      <w:proofErr w:type="spellEnd"/>
      <w:r w:rsidRPr="00FE51D3">
        <w:rPr>
          <w:rFonts w:ascii="Capitolium" w:eastAsia="Times New Roman" w:hAnsi="Capitolium" w:cs="Times New Roman"/>
          <w:lang w:eastAsia="it-IT"/>
        </w:rPr>
        <w:t xml:space="preserve">̀ parcheggi pubblici in elevazione, se previsti da piani attuativi o programmi di settore. </w:t>
      </w:r>
    </w:p>
    <w:p w14:paraId="2940AF77" w14:textId="749D5933" w:rsidR="00FE51D3" w:rsidRPr="00FE51D3" w:rsidRDefault="00FE51D3" w:rsidP="00FE51D3">
      <w:pPr>
        <w:pStyle w:val="Paragrafoelenco"/>
        <w:numPr>
          <w:ilvl w:val="0"/>
          <w:numId w:val="4"/>
        </w:numPr>
        <w:spacing w:before="100" w:beforeAutospacing="1" w:after="100" w:afterAutospacing="1"/>
        <w:rPr>
          <w:rFonts w:ascii="Times New Roman" w:eastAsia="Times New Roman" w:hAnsi="Times New Roman" w:cs="Times New Roman"/>
          <w:lang w:eastAsia="it-IT"/>
        </w:rPr>
      </w:pPr>
      <w:r w:rsidRPr="00FE51D3">
        <w:rPr>
          <w:rFonts w:ascii="Capitolium" w:eastAsia="Times New Roman" w:hAnsi="Capitolium" w:cs="Times New Roman"/>
          <w:lang w:eastAsia="it-IT"/>
        </w:rPr>
        <w:lastRenderedPageBreak/>
        <w:t xml:space="preserve">10. Nei Tessuti della Città consolidata soggetti a strumenti urbanistici esecutivi </w:t>
      </w:r>
      <w:proofErr w:type="spellStart"/>
      <w:r w:rsidRPr="00FE51D3">
        <w:rPr>
          <w:rFonts w:ascii="Capitolium" w:eastAsia="Times New Roman" w:hAnsi="Capitolium" w:cs="Times New Roman"/>
          <w:lang w:eastAsia="it-IT"/>
        </w:rPr>
        <w:t>gia</w:t>
      </w:r>
      <w:proofErr w:type="spellEnd"/>
      <w:r w:rsidRPr="00FE51D3">
        <w:rPr>
          <w:rFonts w:ascii="Capitolium" w:eastAsia="Times New Roman" w:hAnsi="Capitolium" w:cs="Times New Roman"/>
          <w:lang w:eastAsia="it-IT"/>
        </w:rPr>
        <w:t xml:space="preserve">̀ approvati e non ancora decaduti alla data di adozione del presente PRG, si applica la relativa disciplina. Se gli strumenti urbanistici esecutivi, esclusi i Piani di zona di cui alla legge n. 167/1962, sono </w:t>
      </w:r>
      <w:proofErr w:type="spellStart"/>
      <w:r w:rsidRPr="00FE51D3">
        <w:rPr>
          <w:rFonts w:ascii="Capitolium" w:eastAsia="Times New Roman" w:hAnsi="Capitolium" w:cs="Times New Roman"/>
          <w:lang w:eastAsia="it-IT"/>
        </w:rPr>
        <w:t>gia</w:t>
      </w:r>
      <w:proofErr w:type="spellEnd"/>
      <w:r w:rsidRPr="00FE51D3">
        <w:rPr>
          <w:rFonts w:ascii="Capitolium" w:eastAsia="Times New Roman" w:hAnsi="Capitolium" w:cs="Times New Roman"/>
          <w:lang w:eastAsia="it-IT"/>
        </w:rPr>
        <w:t xml:space="preserve">̀ decaduti, nella parte non attuata relativa ai lotti o comparti fondiari destinati all’edificazione privata, si applica la disciplina degli stessi strumenti urbanistici esecutivi. </w:t>
      </w:r>
    </w:p>
    <w:p w14:paraId="5F90CE6E" w14:textId="77777777" w:rsidR="00C60476" w:rsidRPr="00FE51D3" w:rsidRDefault="00C60476"/>
    <w:sectPr w:rsidR="00C60476" w:rsidRPr="00FE51D3"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pitolium">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336399"/>
    <w:multiLevelType w:val="multilevel"/>
    <w:tmpl w:val="62968C26"/>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 w15:restartNumberingAfterBreak="0">
    <w:nsid w:val="480C269E"/>
    <w:multiLevelType w:val="multilevel"/>
    <w:tmpl w:val="4DB4576A"/>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 w15:restartNumberingAfterBreak="0">
    <w:nsid w:val="5246070C"/>
    <w:multiLevelType w:val="multilevel"/>
    <w:tmpl w:val="0D70D700"/>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7125E08"/>
    <w:multiLevelType w:val="multilevel"/>
    <w:tmpl w:val="3222D0E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16cid:durableId="1999964166">
    <w:abstractNumId w:val="0"/>
  </w:num>
  <w:num w:numId="2" w16cid:durableId="165825463">
    <w:abstractNumId w:val="2"/>
  </w:num>
  <w:num w:numId="3" w16cid:durableId="1617445287">
    <w:abstractNumId w:val="1"/>
  </w:num>
  <w:num w:numId="4" w16cid:durableId="12684625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51D3"/>
    <w:rsid w:val="00277042"/>
    <w:rsid w:val="009D72FB"/>
    <w:rsid w:val="00C60476"/>
    <w:rsid w:val="00D20558"/>
    <w:rsid w:val="00FE51D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7591C29A"/>
  <w15:chartTrackingRefBased/>
  <w15:docId w15:val="{0191A667-6026-844D-BF2E-30448E97A1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FE51D3"/>
    <w:pPr>
      <w:spacing w:before="100" w:beforeAutospacing="1" w:after="100" w:afterAutospacing="1"/>
    </w:pPr>
    <w:rPr>
      <w:rFonts w:ascii="Times New Roman" w:eastAsia="Times New Roman" w:hAnsi="Times New Roman" w:cs="Times New Roman"/>
      <w:lang w:eastAsia="it-IT"/>
    </w:rPr>
  </w:style>
  <w:style w:type="paragraph" w:styleId="Paragrafoelenco">
    <w:name w:val="List Paragraph"/>
    <w:basedOn w:val="Normale"/>
    <w:uiPriority w:val="34"/>
    <w:qFormat/>
    <w:rsid w:val="00FE51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0674958">
      <w:bodyDiv w:val="1"/>
      <w:marLeft w:val="0"/>
      <w:marRight w:val="0"/>
      <w:marTop w:val="0"/>
      <w:marBottom w:val="0"/>
      <w:divBdr>
        <w:top w:val="none" w:sz="0" w:space="0" w:color="auto"/>
        <w:left w:val="none" w:sz="0" w:space="0" w:color="auto"/>
        <w:bottom w:val="none" w:sz="0" w:space="0" w:color="auto"/>
        <w:right w:val="none" w:sz="0" w:space="0" w:color="auto"/>
      </w:divBdr>
      <w:divsChild>
        <w:div w:id="1176307550">
          <w:marLeft w:val="0"/>
          <w:marRight w:val="0"/>
          <w:marTop w:val="0"/>
          <w:marBottom w:val="0"/>
          <w:divBdr>
            <w:top w:val="none" w:sz="0" w:space="0" w:color="auto"/>
            <w:left w:val="none" w:sz="0" w:space="0" w:color="auto"/>
            <w:bottom w:val="none" w:sz="0" w:space="0" w:color="auto"/>
            <w:right w:val="none" w:sz="0" w:space="0" w:color="auto"/>
          </w:divBdr>
          <w:divsChild>
            <w:div w:id="2112357925">
              <w:marLeft w:val="0"/>
              <w:marRight w:val="0"/>
              <w:marTop w:val="0"/>
              <w:marBottom w:val="0"/>
              <w:divBdr>
                <w:top w:val="none" w:sz="0" w:space="0" w:color="auto"/>
                <w:left w:val="none" w:sz="0" w:space="0" w:color="auto"/>
                <w:bottom w:val="none" w:sz="0" w:space="0" w:color="auto"/>
                <w:right w:val="none" w:sz="0" w:space="0" w:color="auto"/>
              </w:divBdr>
              <w:divsChild>
                <w:div w:id="1427577514">
                  <w:marLeft w:val="0"/>
                  <w:marRight w:val="0"/>
                  <w:marTop w:val="0"/>
                  <w:marBottom w:val="0"/>
                  <w:divBdr>
                    <w:top w:val="none" w:sz="0" w:space="0" w:color="auto"/>
                    <w:left w:val="none" w:sz="0" w:space="0" w:color="auto"/>
                    <w:bottom w:val="none" w:sz="0" w:space="0" w:color="auto"/>
                    <w:right w:val="none" w:sz="0" w:space="0" w:color="auto"/>
                  </w:divBdr>
                  <w:divsChild>
                    <w:div w:id="195455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401817">
      <w:bodyDiv w:val="1"/>
      <w:marLeft w:val="0"/>
      <w:marRight w:val="0"/>
      <w:marTop w:val="0"/>
      <w:marBottom w:val="0"/>
      <w:divBdr>
        <w:top w:val="none" w:sz="0" w:space="0" w:color="auto"/>
        <w:left w:val="none" w:sz="0" w:space="0" w:color="auto"/>
        <w:bottom w:val="none" w:sz="0" w:space="0" w:color="auto"/>
        <w:right w:val="none" w:sz="0" w:space="0" w:color="auto"/>
      </w:divBdr>
      <w:divsChild>
        <w:div w:id="948246377">
          <w:marLeft w:val="0"/>
          <w:marRight w:val="0"/>
          <w:marTop w:val="0"/>
          <w:marBottom w:val="0"/>
          <w:divBdr>
            <w:top w:val="none" w:sz="0" w:space="0" w:color="auto"/>
            <w:left w:val="none" w:sz="0" w:space="0" w:color="auto"/>
            <w:bottom w:val="none" w:sz="0" w:space="0" w:color="auto"/>
            <w:right w:val="none" w:sz="0" w:space="0" w:color="auto"/>
          </w:divBdr>
          <w:divsChild>
            <w:div w:id="1676299588">
              <w:marLeft w:val="0"/>
              <w:marRight w:val="0"/>
              <w:marTop w:val="0"/>
              <w:marBottom w:val="0"/>
              <w:divBdr>
                <w:top w:val="none" w:sz="0" w:space="0" w:color="auto"/>
                <w:left w:val="none" w:sz="0" w:space="0" w:color="auto"/>
                <w:bottom w:val="none" w:sz="0" w:space="0" w:color="auto"/>
                <w:right w:val="none" w:sz="0" w:space="0" w:color="auto"/>
              </w:divBdr>
              <w:divsChild>
                <w:div w:id="1308364684">
                  <w:marLeft w:val="0"/>
                  <w:marRight w:val="0"/>
                  <w:marTop w:val="0"/>
                  <w:marBottom w:val="0"/>
                  <w:divBdr>
                    <w:top w:val="none" w:sz="0" w:space="0" w:color="auto"/>
                    <w:left w:val="none" w:sz="0" w:space="0" w:color="auto"/>
                    <w:bottom w:val="none" w:sz="0" w:space="0" w:color="auto"/>
                    <w:right w:val="none" w:sz="0" w:space="0" w:color="auto"/>
                  </w:divBdr>
                  <w:divsChild>
                    <w:div w:id="500119299">
                      <w:marLeft w:val="0"/>
                      <w:marRight w:val="0"/>
                      <w:marTop w:val="0"/>
                      <w:marBottom w:val="0"/>
                      <w:divBdr>
                        <w:top w:val="none" w:sz="0" w:space="0" w:color="auto"/>
                        <w:left w:val="none" w:sz="0" w:space="0" w:color="auto"/>
                        <w:bottom w:val="none" w:sz="0" w:space="0" w:color="auto"/>
                        <w:right w:val="none" w:sz="0" w:space="0" w:color="auto"/>
                      </w:divBdr>
                    </w:div>
                    <w:div w:id="359741849">
                      <w:marLeft w:val="0"/>
                      <w:marRight w:val="0"/>
                      <w:marTop w:val="0"/>
                      <w:marBottom w:val="0"/>
                      <w:divBdr>
                        <w:top w:val="none" w:sz="0" w:space="0" w:color="auto"/>
                        <w:left w:val="none" w:sz="0" w:space="0" w:color="auto"/>
                        <w:bottom w:val="none" w:sz="0" w:space="0" w:color="auto"/>
                        <w:right w:val="none" w:sz="0" w:space="0" w:color="auto"/>
                      </w:divBdr>
                    </w:div>
                  </w:divsChild>
                </w:div>
                <w:div w:id="966744072">
                  <w:marLeft w:val="0"/>
                  <w:marRight w:val="0"/>
                  <w:marTop w:val="0"/>
                  <w:marBottom w:val="0"/>
                  <w:divBdr>
                    <w:top w:val="none" w:sz="0" w:space="0" w:color="auto"/>
                    <w:left w:val="none" w:sz="0" w:space="0" w:color="auto"/>
                    <w:bottom w:val="none" w:sz="0" w:space="0" w:color="auto"/>
                    <w:right w:val="none" w:sz="0" w:space="0" w:color="auto"/>
                  </w:divBdr>
                  <w:divsChild>
                    <w:div w:id="1945727180">
                      <w:marLeft w:val="0"/>
                      <w:marRight w:val="0"/>
                      <w:marTop w:val="0"/>
                      <w:marBottom w:val="0"/>
                      <w:divBdr>
                        <w:top w:val="none" w:sz="0" w:space="0" w:color="auto"/>
                        <w:left w:val="none" w:sz="0" w:space="0" w:color="auto"/>
                        <w:bottom w:val="none" w:sz="0" w:space="0" w:color="auto"/>
                        <w:right w:val="none" w:sz="0" w:space="0" w:color="auto"/>
                      </w:divBdr>
                    </w:div>
                    <w:div w:id="1736858368">
                      <w:marLeft w:val="0"/>
                      <w:marRight w:val="0"/>
                      <w:marTop w:val="0"/>
                      <w:marBottom w:val="0"/>
                      <w:divBdr>
                        <w:top w:val="none" w:sz="0" w:space="0" w:color="auto"/>
                        <w:left w:val="none" w:sz="0" w:space="0" w:color="auto"/>
                        <w:bottom w:val="none" w:sz="0" w:space="0" w:color="auto"/>
                        <w:right w:val="none" w:sz="0" w:space="0" w:color="auto"/>
                      </w:divBdr>
                    </w:div>
                  </w:divsChild>
                </w:div>
                <w:div w:id="3628678">
                  <w:marLeft w:val="0"/>
                  <w:marRight w:val="0"/>
                  <w:marTop w:val="0"/>
                  <w:marBottom w:val="0"/>
                  <w:divBdr>
                    <w:top w:val="none" w:sz="0" w:space="0" w:color="auto"/>
                    <w:left w:val="none" w:sz="0" w:space="0" w:color="auto"/>
                    <w:bottom w:val="none" w:sz="0" w:space="0" w:color="auto"/>
                    <w:right w:val="none" w:sz="0" w:space="0" w:color="auto"/>
                  </w:divBdr>
                  <w:divsChild>
                    <w:div w:id="1259020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9007207">
      <w:bodyDiv w:val="1"/>
      <w:marLeft w:val="0"/>
      <w:marRight w:val="0"/>
      <w:marTop w:val="0"/>
      <w:marBottom w:val="0"/>
      <w:divBdr>
        <w:top w:val="none" w:sz="0" w:space="0" w:color="auto"/>
        <w:left w:val="none" w:sz="0" w:space="0" w:color="auto"/>
        <w:bottom w:val="none" w:sz="0" w:space="0" w:color="auto"/>
        <w:right w:val="none" w:sz="0" w:space="0" w:color="auto"/>
      </w:divBdr>
      <w:divsChild>
        <w:div w:id="1810634244">
          <w:marLeft w:val="0"/>
          <w:marRight w:val="0"/>
          <w:marTop w:val="0"/>
          <w:marBottom w:val="0"/>
          <w:divBdr>
            <w:top w:val="none" w:sz="0" w:space="0" w:color="auto"/>
            <w:left w:val="none" w:sz="0" w:space="0" w:color="auto"/>
            <w:bottom w:val="none" w:sz="0" w:space="0" w:color="auto"/>
            <w:right w:val="none" w:sz="0" w:space="0" w:color="auto"/>
          </w:divBdr>
          <w:divsChild>
            <w:div w:id="449398231">
              <w:marLeft w:val="0"/>
              <w:marRight w:val="0"/>
              <w:marTop w:val="0"/>
              <w:marBottom w:val="0"/>
              <w:divBdr>
                <w:top w:val="none" w:sz="0" w:space="0" w:color="auto"/>
                <w:left w:val="none" w:sz="0" w:space="0" w:color="auto"/>
                <w:bottom w:val="none" w:sz="0" w:space="0" w:color="auto"/>
                <w:right w:val="none" w:sz="0" w:space="0" w:color="auto"/>
              </w:divBdr>
              <w:divsChild>
                <w:div w:id="757016319">
                  <w:marLeft w:val="0"/>
                  <w:marRight w:val="0"/>
                  <w:marTop w:val="0"/>
                  <w:marBottom w:val="0"/>
                  <w:divBdr>
                    <w:top w:val="none" w:sz="0" w:space="0" w:color="auto"/>
                    <w:left w:val="none" w:sz="0" w:space="0" w:color="auto"/>
                    <w:bottom w:val="none" w:sz="0" w:space="0" w:color="auto"/>
                    <w:right w:val="none" w:sz="0" w:space="0" w:color="auto"/>
                  </w:divBdr>
                  <w:divsChild>
                    <w:div w:id="572010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3754997">
      <w:bodyDiv w:val="1"/>
      <w:marLeft w:val="0"/>
      <w:marRight w:val="0"/>
      <w:marTop w:val="0"/>
      <w:marBottom w:val="0"/>
      <w:divBdr>
        <w:top w:val="none" w:sz="0" w:space="0" w:color="auto"/>
        <w:left w:val="none" w:sz="0" w:space="0" w:color="auto"/>
        <w:bottom w:val="none" w:sz="0" w:space="0" w:color="auto"/>
        <w:right w:val="none" w:sz="0" w:space="0" w:color="auto"/>
      </w:divBdr>
      <w:divsChild>
        <w:div w:id="845440202">
          <w:marLeft w:val="0"/>
          <w:marRight w:val="0"/>
          <w:marTop w:val="0"/>
          <w:marBottom w:val="0"/>
          <w:divBdr>
            <w:top w:val="none" w:sz="0" w:space="0" w:color="auto"/>
            <w:left w:val="none" w:sz="0" w:space="0" w:color="auto"/>
            <w:bottom w:val="none" w:sz="0" w:space="0" w:color="auto"/>
            <w:right w:val="none" w:sz="0" w:space="0" w:color="auto"/>
          </w:divBdr>
          <w:divsChild>
            <w:div w:id="1021124394">
              <w:marLeft w:val="0"/>
              <w:marRight w:val="0"/>
              <w:marTop w:val="0"/>
              <w:marBottom w:val="0"/>
              <w:divBdr>
                <w:top w:val="none" w:sz="0" w:space="0" w:color="auto"/>
                <w:left w:val="none" w:sz="0" w:space="0" w:color="auto"/>
                <w:bottom w:val="none" w:sz="0" w:space="0" w:color="auto"/>
                <w:right w:val="none" w:sz="0" w:space="0" w:color="auto"/>
              </w:divBdr>
              <w:divsChild>
                <w:div w:id="1894610533">
                  <w:marLeft w:val="0"/>
                  <w:marRight w:val="0"/>
                  <w:marTop w:val="0"/>
                  <w:marBottom w:val="0"/>
                  <w:divBdr>
                    <w:top w:val="none" w:sz="0" w:space="0" w:color="auto"/>
                    <w:left w:val="none" w:sz="0" w:space="0" w:color="auto"/>
                    <w:bottom w:val="none" w:sz="0" w:space="0" w:color="auto"/>
                    <w:right w:val="none" w:sz="0" w:space="0" w:color="auto"/>
                  </w:divBdr>
                  <w:divsChild>
                    <w:div w:id="1412385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5276574">
      <w:bodyDiv w:val="1"/>
      <w:marLeft w:val="0"/>
      <w:marRight w:val="0"/>
      <w:marTop w:val="0"/>
      <w:marBottom w:val="0"/>
      <w:divBdr>
        <w:top w:val="none" w:sz="0" w:space="0" w:color="auto"/>
        <w:left w:val="none" w:sz="0" w:space="0" w:color="auto"/>
        <w:bottom w:val="none" w:sz="0" w:space="0" w:color="auto"/>
        <w:right w:val="none" w:sz="0" w:space="0" w:color="auto"/>
      </w:divBdr>
      <w:divsChild>
        <w:div w:id="1146507906">
          <w:marLeft w:val="0"/>
          <w:marRight w:val="0"/>
          <w:marTop w:val="0"/>
          <w:marBottom w:val="0"/>
          <w:divBdr>
            <w:top w:val="none" w:sz="0" w:space="0" w:color="auto"/>
            <w:left w:val="none" w:sz="0" w:space="0" w:color="auto"/>
            <w:bottom w:val="none" w:sz="0" w:space="0" w:color="auto"/>
            <w:right w:val="none" w:sz="0" w:space="0" w:color="auto"/>
          </w:divBdr>
          <w:divsChild>
            <w:div w:id="1959987205">
              <w:marLeft w:val="0"/>
              <w:marRight w:val="0"/>
              <w:marTop w:val="0"/>
              <w:marBottom w:val="0"/>
              <w:divBdr>
                <w:top w:val="none" w:sz="0" w:space="0" w:color="auto"/>
                <w:left w:val="none" w:sz="0" w:space="0" w:color="auto"/>
                <w:bottom w:val="none" w:sz="0" w:space="0" w:color="auto"/>
                <w:right w:val="none" w:sz="0" w:space="0" w:color="auto"/>
              </w:divBdr>
              <w:divsChild>
                <w:div w:id="2111008442">
                  <w:marLeft w:val="0"/>
                  <w:marRight w:val="0"/>
                  <w:marTop w:val="0"/>
                  <w:marBottom w:val="0"/>
                  <w:divBdr>
                    <w:top w:val="none" w:sz="0" w:space="0" w:color="auto"/>
                    <w:left w:val="none" w:sz="0" w:space="0" w:color="auto"/>
                    <w:bottom w:val="none" w:sz="0" w:space="0" w:color="auto"/>
                    <w:right w:val="none" w:sz="0" w:space="0" w:color="auto"/>
                  </w:divBdr>
                  <w:divsChild>
                    <w:div w:id="1952543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5491932">
      <w:bodyDiv w:val="1"/>
      <w:marLeft w:val="0"/>
      <w:marRight w:val="0"/>
      <w:marTop w:val="0"/>
      <w:marBottom w:val="0"/>
      <w:divBdr>
        <w:top w:val="none" w:sz="0" w:space="0" w:color="auto"/>
        <w:left w:val="none" w:sz="0" w:space="0" w:color="auto"/>
        <w:bottom w:val="none" w:sz="0" w:space="0" w:color="auto"/>
        <w:right w:val="none" w:sz="0" w:space="0" w:color="auto"/>
      </w:divBdr>
      <w:divsChild>
        <w:div w:id="1635984556">
          <w:marLeft w:val="0"/>
          <w:marRight w:val="0"/>
          <w:marTop w:val="0"/>
          <w:marBottom w:val="0"/>
          <w:divBdr>
            <w:top w:val="none" w:sz="0" w:space="0" w:color="auto"/>
            <w:left w:val="none" w:sz="0" w:space="0" w:color="auto"/>
            <w:bottom w:val="none" w:sz="0" w:space="0" w:color="auto"/>
            <w:right w:val="none" w:sz="0" w:space="0" w:color="auto"/>
          </w:divBdr>
          <w:divsChild>
            <w:div w:id="532113985">
              <w:marLeft w:val="0"/>
              <w:marRight w:val="0"/>
              <w:marTop w:val="0"/>
              <w:marBottom w:val="0"/>
              <w:divBdr>
                <w:top w:val="none" w:sz="0" w:space="0" w:color="auto"/>
                <w:left w:val="none" w:sz="0" w:space="0" w:color="auto"/>
                <w:bottom w:val="none" w:sz="0" w:space="0" w:color="auto"/>
                <w:right w:val="none" w:sz="0" w:space="0" w:color="auto"/>
              </w:divBdr>
              <w:divsChild>
                <w:div w:id="1853492776">
                  <w:marLeft w:val="0"/>
                  <w:marRight w:val="0"/>
                  <w:marTop w:val="0"/>
                  <w:marBottom w:val="0"/>
                  <w:divBdr>
                    <w:top w:val="none" w:sz="0" w:space="0" w:color="auto"/>
                    <w:left w:val="none" w:sz="0" w:space="0" w:color="auto"/>
                    <w:bottom w:val="none" w:sz="0" w:space="0" w:color="auto"/>
                    <w:right w:val="none" w:sz="0" w:space="0" w:color="auto"/>
                  </w:divBdr>
                  <w:divsChild>
                    <w:div w:id="461189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5094765">
      <w:bodyDiv w:val="1"/>
      <w:marLeft w:val="0"/>
      <w:marRight w:val="0"/>
      <w:marTop w:val="0"/>
      <w:marBottom w:val="0"/>
      <w:divBdr>
        <w:top w:val="none" w:sz="0" w:space="0" w:color="auto"/>
        <w:left w:val="none" w:sz="0" w:space="0" w:color="auto"/>
        <w:bottom w:val="none" w:sz="0" w:space="0" w:color="auto"/>
        <w:right w:val="none" w:sz="0" w:space="0" w:color="auto"/>
      </w:divBdr>
      <w:divsChild>
        <w:div w:id="210459597">
          <w:marLeft w:val="0"/>
          <w:marRight w:val="0"/>
          <w:marTop w:val="0"/>
          <w:marBottom w:val="0"/>
          <w:divBdr>
            <w:top w:val="none" w:sz="0" w:space="0" w:color="auto"/>
            <w:left w:val="none" w:sz="0" w:space="0" w:color="auto"/>
            <w:bottom w:val="none" w:sz="0" w:space="0" w:color="auto"/>
            <w:right w:val="none" w:sz="0" w:space="0" w:color="auto"/>
          </w:divBdr>
          <w:divsChild>
            <w:div w:id="1072511627">
              <w:marLeft w:val="0"/>
              <w:marRight w:val="0"/>
              <w:marTop w:val="0"/>
              <w:marBottom w:val="0"/>
              <w:divBdr>
                <w:top w:val="none" w:sz="0" w:space="0" w:color="auto"/>
                <w:left w:val="none" w:sz="0" w:space="0" w:color="auto"/>
                <w:bottom w:val="none" w:sz="0" w:space="0" w:color="auto"/>
                <w:right w:val="none" w:sz="0" w:space="0" w:color="auto"/>
              </w:divBdr>
              <w:divsChild>
                <w:div w:id="2122609794">
                  <w:marLeft w:val="0"/>
                  <w:marRight w:val="0"/>
                  <w:marTop w:val="0"/>
                  <w:marBottom w:val="0"/>
                  <w:divBdr>
                    <w:top w:val="none" w:sz="0" w:space="0" w:color="auto"/>
                    <w:left w:val="none" w:sz="0" w:space="0" w:color="auto"/>
                    <w:bottom w:val="none" w:sz="0" w:space="0" w:color="auto"/>
                    <w:right w:val="none" w:sz="0" w:space="0" w:color="auto"/>
                  </w:divBdr>
                  <w:divsChild>
                    <w:div w:id="1369791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7570626">
      <w:bodyDiv w:val="1"/>
      <w:marLeft w:val="0"/>
      <w:marRight w:val="0"/>
      <w:marTop w:val="0"/>
      <w:marBottom w:val="0"/>
      <w:divBdr>
        <w:top w:val="none" w:sz="0" w:space="0" w:color="auto"/>
        <w:left w:val="none" w:sz="0" w:space="0" w:color="auto"/>
        <w:bottom w:val="none" w:sz="0" w:space="0" w:color="auto"/>
        <w:right w:val="none" w:sz="0" w:space="0" w:color="auto"/>
      </w:divBdr>
      <w:divsChild>
        <w:div w:id="1795713895">
          <w:marLeft w:val="0"/>
          <w:marRight w:val="0"/>
          <w:marTop w:val="0"/>
          <w:marBottom w:val="0"/>
          <w:divBdr>
            <w:top w:val="none" w:sz="0" w:space="0" w:color="auto"/>
            <w:left w:val="none" w:sz="0" w:space="0" w:color="auto"/>
            <w:bottom w:val="none" w:sz="0" w:space="0" w:color="auto"/>
            <w:right w:val="none" w:sz="0" w:space="0" w:color="auto"/>
          </w:divBdr>
          <w:divsChild>
            <w:div w:id="243222893">
              <w:marLeft w:val="0"/>
              <w:marRight w:val="0"/>
              <w:marTop w:val="0"/>
              <w:marBottom w:val="0"/>
              <w:divBdr>
                <w:top w:val="none" w:sz="0" w:space="0" w:color="auto"/>
                <w:left w:val="none" w:sz="0" w:space="0" w:color="auto"/>
                <w:bottom w:val="none" w:sz="0" w:space="0" w:color="auto"/>
                <w:right w:val="none" w:sz="0" w:space="0" w:color="auto"/>
              </w:divBdr>
              <w:divsChild>
                <w:div w:id="1142652073">
                  <w:marLeft w:val="0"/>
                  <w:marRight w:val="0"/>
                  <w:marTop w:val="0"/>
                  <w:marBottom w:val="0"/>
                  <w:divBdr>
                    <w:top w:val="none" w:sz="0" w:space="0" w:color="auto"/>
                    <w:left w:val="none" w:sz="0" w:space="0" w:color="auto"/>
                    <w:bottom w:val="none" w:sz="0" w:space="0" w:color="auto"/>
                    <w:right w:val="none" w:sz="0" w:space="0" w:color="auto"/>
                  </w:divBdr>
                  <w:divsChild>
                    <w:div w:id="145078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3</Pages>
  <Words>1001</Words>
  <Characters>5711</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1</cp:revision>
  <dcterms:created xsi:type="dcterms:W3CDTF">2022-05-17T10:07:00Z</dcterms:created>
  <dcterms:modified xsi:type="dcterms:W3CDTF">2022-05-17T10:19:00Z</dcterms:modified>
</cp:coreProperties>
</file>