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gliatabella"/>
        <w:tblW w:w="0" w:type="auto"/>
        <w:tblLook w:val="04A0" w:firstRow="1" w:lastRow="0" w:firstColumn="1" w:lastColumn="0" w:noHBand="0" w:noVBand="1"/>
      </w:tblPr>
      <w:tblGrid>
        <w:gridCol w:w="4811"/>
        <w:gridCol w:w="4811"/>
      </w:tblGrid>
      <w:tr w:rsidR="005B3A88" w14:paraId="727B0A48" w14:textId="77777777" w:rsidTr="00367AA4">
        <w:tc>
          <w:tcPr>
            <w:tcW w:w="9622" w:type="dxa"/>
            <w:gridSpan w:val="2"/>
          </w:tcPr>
          <w:p w14:paraId="1BF97A41" w14:textId="3F4D5BF5" w:rsidR="005B3A88" w:rsidRDefault="005B3A88" w:rsidP="002F2098">
            <w:pPr>
              <w:rPr>
                <w:b/>
                <w:bCs/>
              </w:rPr>
            </w:pPr>
            <w:r>
              <w:rPr>
                <w:b/>
                <w:bCs/>
              </w:rPr>
              <w:t>Dalle bozze pubblicate dalla testata ROARS</w:t>
            </w:r>
          </w:p>
          <w:p w14:paraId="07689B41" w14:textId="15CD8C97" w:rsidR="005B3A88" w:rsidRDefault="005B3A88" w:rsidP="005B3A88">
            <w:r>
              <w:rPr>
                <w:rStyle w:val="Enfasigrassetto"/>
              </w:rPr>
              <w:t>11 febbraio 2019</w:t>
            </w:r>
            <w:r>
              <w:t xml:space="preserve"> </w:t>
            </w:r>
            <w:hyperlink r:id="rId7" w:history="1">
              <w:r>
                <w:rPr>
                  <w:rStyle w:val="Collegamentoipertestuale"/>
                </w:rPr>
                <w:t xml:space="preserve">La testata web </w:t>
              </w:r>
              <w:proofErr w:type="spellStart"/>
              <w:r>
                <w:rPr>
                  <w:rStyle w:val="Collegamentoipertestuale"/>
                </w:rPr>
                <w:t>Roars</w:t>
              </w:r>
              <w:proofErr w:type="spellEnd"/>
              <w:r>
                <w:rPr>
                  <w:rStyle w:val="Collegamentoipertestuale"/>
                </w:rPr>
                <w:t xml:space="preserve"> pubblica “le bozze segrete del regionalismo differenziato”. Chiedendosi : Quale futuro per scuola e università?</w:t>
              </w:r>
            </w:hyperlink>
            <w:r>
              <w:t xml:space="preserve"> </w:t>
            </w:r>
            <w:proofErr w:type="spellStart"/>
            <w:r>
              <w:t>Roars</w:t>
            </w:r>
            <w:proofErr w:type="spellEnd"/>
            <w:r>
              <w:t xml:space="preserve"> mette a disposizione i file delle bozze di intesa per Lombardia, Veneto ed Emilia Romagna elaborate dal Governo Conte</w:t>
            </w:r>
          </w:p>
          <w:p w14:paraId="04C0C610" w14:textId="5CC8BCA2" w:rsidR="005B3A88" w:rsidRDefault="005B3A88" w:rsidP="002F2098">
            <w:pPr>
              <w:rPr>
                <w:b/>
                <w:bCs/>
              </w:rPr>
            </w:pPr>
          </w:p>
        </w:tc>
      </w:tr>
      <w:tr w:rsidR="002F2098" w14:paraId="0810C54A" w14:textId="77777777" w:rsidTr="00F56FAD">
        <w:tc>
          <w:tcPr>
            <w:tcW w:w="4811" w:type="dxa"/>
          </w:tcPr>
          <w:p w14:paraId="08D3A0BE" w14:textId="77777777" w:rsidR="002F2098" w:rsidRDefault="002F2098" w:rsidP="00F56FAD">
            <w:pPr>
              <w:rPr>
                <w:b/>
                <w:bCs/>
              </w:rPr>
            </w:pPr>
            <w:r>
              <w:rPr>
                <w:b/>
                <w:bCs/>
              </w:rPr>
              <w:t>BOZZA VENETO</w:t>
            </w:r>
          </w:p>
          <w:p w14:paraId="1C4C1054" w14:textId="0E9961C9" w:rsidR="002F2098" w:rsidRPr="00F56FAD" w:rsidRDefault="002F2098" w:rsidP="00F56FAD">
            <w:pPr>
              <w:rPr>
                <w:b/>
                <w:bCs/>
              </w:rPr>
            </w:pPr>
            <w:r>
              <w:rPr>
                <w:b/>
                <w:bCs/>
              </w:rPr>
              <w:t>(bozza che recepisce osservazioni Ministeri eccetto MEF)</w:t>
            </w:r>
          </w:p>
        </w:tc>
        <w:tc>
          <w:tcPr>
            <w:tcW w:w="4811" w:type="dxa"/>
          </w:tcPr>
          <w:p w14:paraId="69B8AC37" w14:textId="77777777" w:rsidR="002F2098" w:rsidRDefault="002F2098" w:rsidP="002F2098">
            <w:pPr>
              <w:rPr>
                <w:b/>
                <w:bCs/>
              </w:rPr>
            </w:pPr>
            <w:r>
              <w:rPr>
                <w:b/>
                <w:bCs/>
              </w:rPr>
              <w:t>BOZZA VENETO</w:t>
            </w:r>
          </w:p>
          <w:p w14:paraId="2D1B36C4" w14:textId="639D21E3" w:rsidR="002F2098" w:rsidRPr="00F56FAD" w:rsidRDefault="002F2098" w:rsidP="00F56FAD">
            <w:pPr>
              <w:rPr>
                <w:b/>
                <w:bCs/>
              </w:rPr>
            </w:pPr>
            <w:r>
              <w:rPr>
                <w:b/>
                <w:bCs/>
              </w:rPr>
              <w:t>Con richieste Regione non accolte dai Ministeri o non ancora definite</w:t>
            </w:r>
          </w:p>
        </w:tc>
      </w:tr>
      <w:tr w:rsidR="002F2098" w14:paraId="520A115E" w14:textId="77777777" w:rsidTr="00F56FAD">
        <w:tc>
          <w:tcPr>
            <w:tcW w:w="4811" w:type="dxa"/>
          </w:tcPr>
          <w:p w14:paraId="6F01D0BF" w14:textId="298CE9CA" w:rsidR="002F2098" w:rsidRDefault="002F2098" w:rsidP="00F56FAD">
            <w:pPr>
              <w:rPr>
                <w:b/>
                <w:bCs/>
              </w:rPr>
            </w:pPr>
            <w:r>
              <w:rPr>
                <w:b/>
                <w:bCs/>
              </w:rPr>
              <w:t>[</w:t>
            </w:r>
            <w:r w:rsidRPr="002F2098">
              <w:rPr>
                <w:i/>
                <w:iCs/>
              </w:rPr>
              <w:t>bozza di]</w:t>
            </w:r>
            <w:r>
              <w:rPr>
                <w:b/>
                <w:bCs/>
              </w:rPr>
              <w:t xml:space="preserve"> Intesa sottoscritta tra il Presidente del Consiglio dei Ministri Giuseppe Conte e il  Presidente della Regione Veneto Luca Zaia </w:t>
            </w:r>
          </w:p>
        </w:tc>
        <w:tc>
          <w:tcPr>
            <w:tcW w:w="4811" w:type="dxa"/>
          </w:tcPr>
          <w:p w14:paraId="33B21630" w14:textId="6E86197E" w:rsidR="002F2098" w:rsidRDefault="002F2098" w:rsidP="002F2098">
            <w:pPr>
              <w:rPr>
                <w:b/>
                <w:bCs/>
              </w:rPr>
            </w:pPr>
            <w:r>
              <w:rPr>
                <w:i/>
                <w:iCs/>
              </w:rPr>
              <w:t>[</w:t>
            </w:r>
            <w:r w:rsidRPr="002F2098">
              <w:rPr>
                <w:i/>
                <w:iCs/>
              </w:rPr>
              <w:t>bozza di]</w:t>
            </w:r>
            <w:r>
              <w:rPr>
                <w:b/>
                <w:bCs/>
              </w:rPr>
              <w:t xml:space="preserve"> Intesa sottoscritta tra il Presidente del Consiglio dei Ministri Giuseppe Conte e il  Presidente della Regione Veneto Luca Zaia</w:t>
            </w:r>
          </w:p>
        </w:tc>
      </w:tr>
      <w:tr w:rsidR="00F56FAD" w14:paraId="1C6870CD" w14:textId="77777777" w:rsidTr="00F56FAD">
        <w:tc>
          <w:tcPr>
            <w:tcW w:w="4811" w:type="dxa"/>
          </w:tcPr>
          <w:p w14:paraId="7AD0BBCD" w14:textId="77777777" w:rsidR="00F56FAD" w:rsidRPr="00F56FAD" w:rsidRDefault="00F56FAD" w:rsidP="00F56FAD">
            <w:pPr>
              <w:rPr>
                <w:b/>
                <w:bCs/>
              </w:rPr>
            </w:pPr>
            <w:r w:rsidRPr="00F56FAD">
              <w:rPr>
                <w:b/>
                <w:bCs/>
              </w:rPr>
              <w:t xml:space="preserve">Articolo 45 tutela dei Beni Culturali </w:t>
            </w:r>
          </w:p>
          <w:p w14:paraId="706E567F" w14:textId="77777777" w:rsidR="00F56FAD" w:rsidRDefault="00F56FAD" w:rsidP="003612E9"/>
        </w:tc>
        <w:tc>
          <w:tcPr>
            <w:tcW w:w="4811" w:type="dxa"/>
          </w:tcPr>
          <w:p w14:paraId="44B0E63F" w14:textId="77777777" w:rsidR="00F56FAD" w:rsidRPr="00F56FAD" w:rsidRDefault="00F56FAD" w:rsidP="00F56FAD">
            <w:pPr>
              <w:rPr>
                <w:b/>
                <w:bCs/>
              </w:rPr>
            </w:pPr>
            <w:r w:rsidRPr="00F56FAD">
              <w:rPr>
                <w:b/>
                <w:bCs/>
              </w:rPr>
              <w:t xml:space="preserve">Articolo 45 tutela dei Beni Culturali </w:t>
            </w:r>
          </w:p>
          <w:p w14:paraId="517DE52A" w14:textId="77777777" w:rsidR="00F56FAD" w:rsidRDefault="00F56FAD" w:rsidP="00F56FAD">
            <w:pPr>
              <w:pStyle w:val="Paragrafoelenco"/>
              <w:numPr>
                <w:ilvl w:val="0"/>
                <w:numId w:val="2"/>
              </w:numPr>
            </w:pPr>
            <w:r>
              <w:t xml:space="preserve"> sono attribuite alla regione del Veneto la competenza legislativa nella materia tutela dei Beni Culturali ai sensi dell’articolo 117 della costituzione con riferimento ai Beni Culturali immobili e mobili presenti sul territorio regionale nonché la relativa competenza amministrativa</w:t>
            </w:r>
          </w:p>
          <w:p w14:paraId="65CD53C6" w14:textId="00CFAB2B" w:rsidR="00F56FAD" w:rsidRDefault="00F56FAD" w:rsidP="00F56FAD">
            <w:pPr>
              <w:pStyle w:val="Paragrafoelenco"/>
              <w:numPr>
                <w:ilvl w:val="0"/>
                <w:numId w:val="2"/>
              </w:numPr>
            </w:pPr>
            <w:r>
              <w:t xml:space="preserve"> le azioni della regione Veneto in materia di tutela si conforma</w:t>
            </w:r>
            <w:r w:rsidR="00486A4B">
              <w:t>no</w:t>
            </w:r>
            <w:r>
              <w:t xml:space="preserve"> al principio al principio di leale collaborazione con lo Stato </w:t>
            </w:r>
          </w:p>
          <w:p w14:paraId="53F94211" w14:textId="77777777" w:rsidR="00F56FAD" w:rsidRDefault="00F56FAD" w:rsidP="00F56FAD"/>
        </w:tc>
      </w:tr>
      <w:tr w:rsidR="003612E9" w14:paraId="4D9224CD" w14:textId="77777777" w:rsidTr="00F56FAD">
        <w:tc>
          <w:tcPr>
            <w:tcW w:w="4811" w:type="dxa"/>
          </w:tcPr>
          <w:p w14:paraId="62805D70" w14:textId="545A6B23" w:rsidR="00F56FAD" w:rsidRPr="00F56FAD" w:rsidRDefault="00F56FAD" w:rsidP="00F56FAD">
            <w:pPr>
              <w:rPr>
                <w:b/>
                <w:bCs/>
              </w:rPr>
            </w:pPr>
            <w:r w:rsidRPr="00F56FAD">
              <w:rPr>
                <w:b/>
                <w:bCs/>
              </w:rPr>
              <w:t>A</w:t>
            </w:r>
            <w:r w:rsidR="003612E9" w:rsidRPr="00F56FAD">
              <w:rPr>
                <w:b/>
                <w:bCs/>
              </w:rPr>
              <w:t>rticolo 46 valorizzazione dei beni culturali e paesaggistici e promozione</w:t>
            </w:r>
            <w:r w:rsidR="00FA32B2">
              <w:rPr>
                <w:b/>
                <w:bCs/>
              </w:rPr>
              <w:t xml:space="preserve"> e </w:t>
            </w:r>
            <w:r w:rsidR="003612E9" w:rsidRPr="00F56FAD">
              <w:rPr>
                <w:b/>
                <w:bCs/>
              </w:rPr>
              <w:t xml:space="preserve"> organizzazione di attività culturali </w:t>
            </w:r>
          </w:p>
          <w:p w14:paraId="504E1616" w14:textId="5A03AC2D" w:rsidR="00486A4B" w:rsidRDefault="003612E9" w:rsidP="00F56FAD">
            <w:pPr>
              <w:pStyle w:val="Paragrafoelenco"/>
              <w:numPr>
                <w:ilvl w:val="0"/>
                <w:numId w:val="3"/>
              </w:numPr>
            </w:pPr>
            <w:r>
              <w:t>nel rispetto dei principi fondamentali fissati dal decreto legislativo 22 gennaio 2004 numero 42 nonché dei livelli minimi uniformi di qualità delle attività di valorizzazione su beni di appartenenza pubblica adottate ai sensi dell’articolo 114 del medesimo decreto legislativo, alla regione sono attribuite la potestà legislativa e le funzioni amministrative in materia di valorizzazione dei seguenti istituti e luoghi della cultura appartenenti allo Stato e dei Beni Culturali ivi present</w:t>
            </w:r>
            <w:r w:rsidR="00FA32B2">
              <w:t>i:</w:t>
            </w:r>
            <w:r>
              <w:t xml:space="preserve"> a… </w:t>
            </w:r>
          </w:p>
          <w:p w14:paraId="64CB4713" w14:textId="77777777" w:rsidR="00486A4B" w:rsidRDefault="00486A4B" w:rsidP="00486A4B">
            <w:pPr>
              <w:ind w:left="360"/>
            </w:pPr>
            <w:r>
              <w:t xml:space="preserve">       b</w:t>
            </w:r>
            <w:r w:rsidR="003612E9">
              <w:t xml:space="preserve">… </w:t>
            </w:r>
          </w:p>
          <w:p w14:paraId="76A24FFD" w14:textId="77777777" w:rsidR="00FA32B2" w:rsidRDefault="003612E9" w:rsidP="00486A4B">
            <w:pPr>
              <w:pStyle w:val="Paragrafoelenco"/>
              <w:numPr>
                <w:ilvl w:val="0"/>
                <w:numId w:val="3"/>
              </w:numPr>
            </w:pPr>
            <w:r>
              <w:t xml:space="preserve">alla regione sono altresì attribuite le funzioni amministrative da esercitare in maniera congiunta con lo Stato in materia di valorizzazione dei seguenti </w:t>
            </w:r>
            <w:r>
              <w:lastRenderedPageBreak/>
              <w:t xml:space="preserve">istituti e luoghi della cultura appartenenti allo Stato dei Beni Culturali ivi presenti: </w:t>
            </w:r>
          </w:p>
          <w:p w14:paraId="2FF91C1E" w14:textId="77777777" w:rsidR="00FA32B2" w:rsidRDefault="003612E9" w:rsidP="00FA32B2">
            <w:pPr>
              <w:ind w:left="708"/>
            </w:pPr>
            <w:r>
              <w:t xml:space="preserve">a… </w:t>
            </w:r>
          </w:p>
          <w:p w14:paraId="567B6AAF" w14:textId="77777777" w:rsidR="00FA32B2" w:rsidRDefault="003612E9" w:rsidP="00FA32B2">
            <w:pPr>
              <w:ind w:left="708"/>
            </w:pPr>
            <w:r>
              <w:t xml:space="preserve">B… </w:t>
            </w:r>
          </w:p>
          <w:p w14:paraId="7E0E29BA" w14:textId="77777777" w:rsidR="00FA32B2" w:rsidRDefault="003612E9" w:rsidP="00FA32B2">
            <w:pPr>
              <w:pStyle w:val="Paragrafoelenco"/>
              <w:numPr>
                <w:ilvl w:val="0"/>
                <w:numId w:val="3"/>
              </w:numPr>
            </w:pPr>
            <w:r>
              <w:t>la regione Veneto il ministero definiscono con appositi accordi le modalità della gestione congiunta concernente la parola valorizzazione dei Beni Culturali di cui al comma 2</w:t>
            </w:r>
          </w:p>
          <w:p w14:paraId="1E8B0929" w14:textId="77777777" w:rsidR="00FA32B2" w:rsidRDefault="003612E9" w:rsidP="00FA32B2">
            <w:pPr>
              <w:pStyle w:val="Paragrafoelenco"/>
              <w:numPr>
                <w:ilvl w:val="0"/>
                <w:numId w:val="3"/>
              </w:numPr>
            </w:pPr>
            <w:r>
              <w:t xml:space="preserve"> la tutela dei Beni Culturali delle collezioni museali presenti negli istituti e luoghi della cultura di cui ai commi </w:t>
            </w:r>
            <w:r w:rsidR="00FA32B2">
              <w:t>1</w:t>
            </w:r>
            <w:r>
              <w:t xml:space="preserve"> e </w:t>
            </w:r>
            <w:r w:rsidR="00FA32B2">
              <w:t>2</w:t>
            </w:r>
            <w:r>
              <w:t xml:space="preserve"> e le determinazioni afferenti al prestito delle opere d’arte e la concessione in uso continuano essere esercitate dal ministero </w:t>
            </w:r>
          </w:p>
          <w:p w14:paraId="31B3B658" w14:textId="77777777" w:rsidR="00FA32B2" w:rsidRDefault="003612E9" w:rsidP="00FA32B2">
            <w:pPr>
              <w:pStyle w:val="Paragrafoelenco"/>
              <w:numPr>
                <w:ilvl w:val="0"/>
                <w:numId w:val="3"/>
              </w:numPr>
            </w:pPr>
            <w:r>
              <w:t>con riferimento agli istituti e luoghi della cultura di cui al comma uno  la regione assicura il rispetto dei livelli minimi uniformi di qualità adottate ai sensi dell’articolo 114 decreto legislativo 22 gennaio 2004 n</w:t>
            </w:r>
            <w:r w:rsidR="00FA32B2">
              <w:t>.</w:t>
            </w:r>
            <w:r>
              <w:t xml:space="preserve"> 42 </w:t>
            </w:r>
          </w:p>
          <w:p w14:paraId="739646FF" w14:textId="45D66092" w:rsidR="003612E9" w:rsidRDefault="003612E9" w:rsidP="008F14AC">
            <w:pPr>
              <w:pStyle w:val="Paragrafoelenco"/>
              <w:numPr>
                <w:ilvl w:val="0"/>
                <w:numId w:val="3"/>
              </w:numPr>
            </w:pPr>
            <w:r>
              <w:t xml:space="preserve">al fine di assicurare l’esercizio delle funzioni di cui agli articoli… Sono trasferite alla regione Veneto le funzioni esercitate </w:t>
            </w:r>
            <w:proofErr w:type="gramStart"/>
            <w:r>
              <w:t>dalle soprintendenza</w:t>
            </w:r>
            <w:proofErr w:type="gramEnd"/>
            <w:r>
              <w:t xml:space="preserve"> archeologica e belle arti e paesaggio e la soprintendenza archivistica e bibliografica presenti sul territorio regionale con l’attribuzione delle relative risorse umane finanziarie e strumentali.  </w:t>
            </w:r>
          </w:p>
          <w:p w14:paraId="035CBF18" w14:textId="77777777" w:rsidR="003612E9" w:rsidRDefault="003612E9" w:rsidP="003612E9"/>
          <w:p w14:paraId="25CA23DD" w14:textId="77777777" w:rsidR="003612E9" w:rsidRDefault="003612E9" w:rsidP="00B82A1E"/>
        </w:tc>
        <w:tc>
          <w:tcPr>
            <w:tcW w:w="4811" w:type="dxa"/>
          </w:tcPr>
          <w:p w14:paraId="683236AD" w14:textId="72F3E0BA" w:rsidR="00F56FAD" w:rsidRPr="00F56FAD" w:rsidRDefault="00F56FAD" w:rsidP="00F56FAD">
            <w:pPr>
              <w:rPr>
                <w:b/>
                <w:bCs/>
              </w:rPr>
            </w:pPr>
            <w:r w:rsidRPr="00F56FAD">
              <w:rPr>
                <w:b/>
                <w:bCs/>
              </w:rPr>
              <w:lastRenderedPageBreak/>
              <w:t xml:space="preserve">Articolo 46 valorizzazione dei beni culturali e paesaggistici e promozione </w:t>
            </w:r>
            <w:r w:rsidR="00FA32B2">
              <w:rPr>
                <w:b/>
                <w:bCs/>
              </w:rPr>
              <w:t xml:space="preserve">e </w:t>
            </w:r>
            <w:r w:rsidRPr="00F56FAD">
              <w:rPr>
                <w:b/>
                <w:bCs/>
              </w:rPr>
              <w:t xml:space="preserve">organizzazione di attività culturali </w:t>
            </w:r>
          </w:p>
          <w:p w14:paraId="63342503" w14:textId="665F4CFC" w:rsidR="00D3216C" w:rsidRDefault="00FA32B2" w:rsidP="00D3216C">
            <w:pPr>
              <w:pStyle w:val="Paragrafoelenco"/>
              <w:numPr>
                <w:ilvl w:val="0"/>
                <w:numId w:val="4"/>
              </w:numPr>
            </w:pPr>
            <w:r>
              <w:t xml:space="preserve">è attribuita alla regione del Veneto la competenza legislativa in materia di </w:t>
            </w:r>
            <w:r w:rsidR="00D3216C">
              <w:t>“</w:t>
            </w:r>
            <w:r>
              <w:t>valorizzazione dei beni culturali e ambientali e promozione organizzazione di attività culturali</w:t>
            </w:r>
            <w:r w:rsidR="00D3216C">
              <w:t>”</w:t>
            </w:r>
            <w:r w:rsidR="00CB1A12">
              <w:t xml:space="preserve"> </w:t>
            </w:r>
            <w:r>
              <w:t>ai sensi dell’articolo 117 della costituzione</w:t>
            </w:r>
          </w:p>
          <w:p w14:paraId="47E94D89" w14:textId="77777777" w:rsidR="00D3216C" w:rsidRDefault="00FA32B2" w:rsidP="00D3216C">
            <w:pPr>
              <w:pStyle w:val="Paragrafoelenco"/>
              <w:numPr>
                <w:ilvl w:val="0"/>
                <w:numId w:val="4"/>
              </w:numPr>
            </w:pPr>
            <w:r>
              <w:t xml:space="preserve"> la competenza legislativa di cui al comma 1 ha ad oggetto la valorizzazione di tutti i beni presenti sul territorio regionale e l’organizzazione di attività culturali di spettacolo nonché la disciplina degli interventi a favore del patrimonio culturale di origine veneta che si trova all’estero </w:t>
            </w:r>
          </w:p>
          <w:p w14:paraId="3CFA7A7A" w14:textId="77777777" w:rsidR="00D3216C" w:rsidRDefault="00FA32B2" w:rsidP="00D3216C">
            <w:pPr>
              <w:pStyle w:val="Paragrafoelenco"/>
              <w:numPr>
                <w:ilvl w:val="0"/>
                <w:numId w:val="4"/>
              </w:numPr>
            </w:pPr>
            <w:r>
              <w:t xml:space="preserve"> alla regione del Veneto </w:t>
            </w:r>
            <w:r w:rsidR="00D3216C">
              <w:t xml:space="preserve">è </w:t>
            </w:r>
            <w:r>
              <w:t xml:space="preserve">attribuita la competenza amministrativa di valorizzazione in relazione a tutti i beni </w:t>
            </w:r>
            <w:r>
              <w:lastRenderedPageBreak/>
              <w:t xml:space="preserve">anche paesaggistici presenti sul territorio regionale </w:t>
            </w:r>
          </w:p>
          <w:p w14:paraId="63A16E21" w14:textId="77777777" w:rsidR="00D3216C" w:rsidRDefault="00FA32B2" w:rsidP="00D3216C">
            <w:pPr>
              <w:pStyle w:val="Paragrafoelenco"/>
              <w:numPr>
                <w:ilvl w:val="0"/>
                <w:numId w:val="4"/>
              </w:numPr>
            </w:pPr>
            <w:r>
              <w:t xml:space="preserve"> alla regione Veneto </w:t>
            </w:r>
            <w:r w:rsidR="00D3216C">
              <w:t xml:space="preserve">è </w:t>
            </w:r>
            <w:r>
              <w:t xml:space="preserve">attribuita altresì la competenza amministrativa in relazione alla promozione e organizzazione di attività culturali di spettacolo inclusa la gestione del fondo unico per lo spettacolo </w:t>
            </w:r>
          </w:p>
          <w:p w14:paraId="59687219" w14:textId="0A5C9F15" w:rsidR="00FA32B2" w:rsidRDefault="00FA32B2" w:rsidP="00D3216C">
            <w:pPr>
              <w:pStyle w:val="Paragrafoelenco"/>
              <w:numPr>
                <w:ilvl w:val="0"/>
                <w:numId w:val="4"/>
              </w:numPr>
            </w:pPr>
            <w:r>
              <w:t xml:space="preserve"> al fine di assicurare l’esercizio delle funzioni di cui ai commi sono trasferit</w:t>
            </w:r>
            <w:r w:rsidR="00D3216C">
              <w:t xml:space="preserve">e </w:t>
            </w:r>
            <w:r>
              <w:t xml:space="preserve"> </w:t>
            </w:r>
            <w:r w:rsidR="00D3216C">
              <w:t>al</w:t>
            </w:r>
            <w:r>
              <w:t>la regione del Veneto le funzioni esercitate dalla soprintendenza archeologica e belle arti e paesaggio e la soprintendenza archivistica bibliografica con le attribuzioni delle relative risorse.</w:t>
            </w:r>
          </w:p>
          <w:p w14:paraId="56CE90B4" w14:textId="3B19CF4B" w:rsidR="003612E9" w:rsidRDefault="003612E9" w:rsidP="00F56FAD"/>
        </w:tc>
      </w:tr>
      <w:tr w:rsidR="00B82A1E" w14:paraId="0F1B8151" w14:textId="77777777" w:rsidTr="00F56FAD">
        <w:tc>
          <w:tcPr>
            <w:tcW w:w="4811" w:type="dxa"/>
          </w:tcPr>
          <w:p w14:paraId="7193CC97" w14:textId="77777777" w:rsidR="00640610" w:rsidRPr="00640610" w:rsidRDefault="00640610" w:rsidP="00640610">
            <w:pPr>
              <w:rPr>
                <w:b/>
                <w:bCs/>
              </w:rPr>
            </w:pPr>
            <w:r w:rsidRPr="00640610">
              <w:rPr>
                <w:b/>
                <w:bCs/>
              </w:rPr>
              <w:t xml:space="preserve">Articolo 47 tutela del paesaggio </w:t>
            </w:r>
          </w:p>
          <w:p w14:paraId="0CA3525C" w14:textId="77777777" w:rsidR="00B82A1E" w:rsidRDefault="00B82A1E" w:rsidP="00B82A1E"/>
        </w:tc>
        <w:tc>
          <w:tcPr>
            <w:tcW w:w="4811" w:type="dxa"/>
          </w:tcPr>
          <w:p w14:paraId="661A167B" w14:textId="77777777" w:rsidR="00640610" w:rsidRPr="00640610" w:rsidRDefault="00B82A1E" w:rsidP="00B82A1E">
            <w:pPr>
              <w:rPr>
                <w:b/>
                <w:bCs/>
              </w:rPr>
            </w:pPr>
            <w:r w:rsidRPr="00640610">
              <w:rPr>
                <w:b/>
                <w:bCs/>
              </w:rPr>
              <w:t xml:space="preserve">Articolo 47 tutela del paesaggio </w:t>
            </w:r>
          </w:p>
          <w:p w14:paraId="08BDB785" w14:textId="713610CD" w:rsidR="00640610" w:rsidRDefault="00B82A1E" w:rsidP="00640610">
            <w:pPr>
              <w:pStyle w:val="Paragrafoelenco"/>
              <w:numPr>
                <w:ilvl w:val="0"/>
                <w:numId w:val="5"/>
              </w:numPr>
            </w:pPr>
            <w:r>
              <w:t xml:space="preserve">alla regione Veneto </w:t>
            </w:r>
            <w:r w:rsidR="00640610">
              <w:t xml:space="preserve">è </w:t>
            </w:r>
            <w:r>
              <w:t xml:space="preserve">attribuita la potestà legislativa amministrativa in materia di paesaggio e relativamente: </w:t>
            </w:r>
          </w:p>
          <w:p w14:paraId="6AF861F9" w14:textId="55D36C9D" w:rsidR="00640610" w:rsidRDefault="00B82A1E" w:rsidP="00640610">
            <w:pPr>
              <w:pStyle w:val="Paragrafoelenco"/>
              <w:numPr>
                <w:ilvl w:val="0"/>
                <w:numId w:val="6"/>
              </w:numPr>
            </w:pPr>
            <w:r>
              <w:t>all’elaborazione all’approvazione del piano paesaggistico regionale</w:t>
            </w:r>
            <w:r w:rsidR="00640610">
              <w:t xml:space="preserve">, </w:t>
            </w:r>
            <w:r>
              <w:t xml:space="preserve">al coordinamento della pianificazione paesaggistica con altri strumenti di pianificazione nonché alla verificale e all’adeguamento dei piani paesaggistici </w:t>
            </w:r>
          </w:p>
          <w:p w14:paraId="48E2998C" w14:textId="77777777" w:rsidR="00640610" w:rsidRDefault="00B82A1E" w:rsidP="00640610">
            <w:pPr>
              <w:pStyle w:val="Paragrafoelenco"/>
              <w:numPr>
                <w:ilvl w:val="0"/>
                <w:numId w:val="6"/>
              </w:numPr>
            </w:pPr>
            <w:r>
              <w:t>all</w:t>
            </w:r>
            <w:r w:rsidR="00640610">
              <w:t>’ap</w:t>
            </w:r>
            <w:r>
              <w:t xml:space="preserve">posizione di nuovi vincoli paesaggistici e alla revisione dei vincoli esistenti </w:t>
            </w:r>
          </w:p>
          <w:p w14:paraId="71A10624" w14:textId="77777777" w:rsidR="00640610" w:rsidRDefault="00B82A1E" w:rsidP="00640610">
            <w:pPr>
              <w:pStyle w:val="Paragrafoelenco"/>
              <w:numPr>
                <w:ilvl w:val="0"/>
                <w:numId w:val="6"/>
              </w:numPr>
            </w:pPr>
            <w:r>
              <w:lastRenderedPageBreak/>
              <w:t>a</w:t>
            </w:r>
            <w:r w:rsidR="00640610">
              <w:t>l</w:t>
            </w:r>
            <w:r>
              <w:t xml:space="preserve"> rilascio delle autorizzazioni paesaggistiche </w:t>
            </w:r>
          </w:p>
          <w:p w14:paraId="5563D18D" w14:textId="13ABA79C" w:rsidR="00BE2397" w:rsidRDefault="00B82A1E" w:rsidP="00BE2397">
            <w:pPr>
              <w:pStyle w:val="Paragrafoelenco"/>
              <w:numPr>
                <w:ilvl w:val="0"/>
                <w:numId w:val="5"/>
              </w:numPr>
            </w:pPr>
            <w:r>
              <w:t>in attuazione alle disposizioni di cui al presente articolo sono trasferit</w:t>
            </w:r>
            <w:r w:rsidR="00640610">
              <w:t xml:space="preserve">e </w:t>
            </w:r>
            <w:r>
              <w:t xml:space="preserve"> </w:t>
            </w:r>
            <w:r w:rsidR="00640610">
              <w:t>al</w:t>
            </w:r>
            <w:r>
              <w:t>la regione Veneto le correlate funzioni delle soprintendenz</w:t>
            </w:r>
            <w:r w:rsidR="00BE2397">
              <w:t xml:space="preserve">e </w:t>
            </w:r>
            <w:r>
              <w:t xml:space="preserve"> in materia di paesaggio presenti sul territorio regionale con l’attribuzione delle relative risorse umane finanziarie strumentali </w:t>
            </w:r>
          </w:p>
          <w:p w14:paraId="709B410D" w14:textId="77777777" w:rsidR="00B82A1E" w:rsidRDefault="00B82A1E" w:rsidP="00BE2397"/>
        </w:tc>
      </w:tr>
      <w:tr w:rsidR="00B82A1E" w14:paraId="1871982A" w14:textId="77777777" w:rsidTr="00F56FAD">
        <w:tc>
          <w:tcPr>
            <w:tcW w:w="4811" w:type="dxa"/>
          </w:tcPr>
          <w:p w14:paraId="5EB8B589" w14:textId="77777777" w:rsidR="00BE2397" w:rsidRPr="00BE2397" w:rsidRDefault="00BE2397" w:rsidP="00BE2397">
            <w:pPr>
              <w:rPr>
                <w:b/>
                <w:bCs/>
              </w:rPr>
            </w:pPr>
            <w:r w:rsidRPr="00BE2397">
              <w:rPr>
                <w:b/>
                <w:bCs/>
              </w:rPr>
              <w:lastRenderedPageBreak/>
              <w:t xml:space="preserve">articolo 48 fondo unico per lo spettacolo </w:t>
            </w:r>
          </w:p>
          <w:p w14:paraId="47CA9D32" w14:textId="42FD6A4B" w:rsidR="00BE2397" w:rsidRDefault="00BE2397" w:rsidP="00BE2397">
            <w:pPr>
              <w:pStyle w:val="Paragrafoelenco"/>
              <w:numPr>
                <w:ilvl w:val="0"/>
                <w:numId w:val="7"/>
              </w:numPr>
            </w:pPr>
            <w:r>
              <w:t>alla regione Veneto è attribuita la funzione amministrativa di  rimodulazione dell’importo dei contributi a valere sul fondo unico per lo spettacolo di cui alla legge 30 aprile 1985 n</w:t>
            </w:r>
            <w:r>
              <w:t>.</w:t>
            </w:r>
            <w:r>
              <w:t xml:space="preserve"> 183, complessivamente assegnati a soggetti operanti nel territorio regionale all’esito della procedura nazionale</w:t>
            </w:r>
          </w:p>
          <w:p w14:paraId="1D0108CD" w14:textId="77777777" w:rsidR="00BE2397" w:rsidRDefault="00BE2397" w:rsidP="00BE2397">
            <w:pPr>
              <w:pStyle w:val="Paragrafoelenco"/>
              <w:numPr>
                <w:ilvl w:val="0"/>
                <w:numId w:val="7"/>
              </w:numPr>
            </w:pPr>
            <w:r>
              <w:t xml:space="preserve">sono esclusi dalla rimodulazione regionale, di cui al comma </w:t>
            </w:r>
            <w:r>
              <w:t>1</w:t>
            </w:r>
            <w:r>
              <w:t xml:space="preserve">, i contributi assegnati alle fondazioni lirico sinfoniche e ai teatri nazionali nonché i finanziamenti straordinari o estranei al fondo unico per lo spettacolo previsti da norme speciali  fondo per lo sviluppo del degli investimenti nel cinema </w:t>
            </w:r>
          </w:p>
          <w:p w14:paraId="7078B5F1" w14:textId="77777777" w:rsidR="00BE2397" w:rsidRDefault="00BE2397" w:rsidP="00BE2397">
            <w:pPr>
              <w:ind w:left="360"/>
            </w:pPr>
          </w:p>
          <w:p w14:paraId="3B71BDFC" w14:textId="655AB7C8" w:rsidR="00BE2397" w:rsidRPr="00BE1A54" w:rsidRDefault="00BE2397" w:rsidP="00BE1A54">
            <w:pPr>
              <w:rPr>
                <w:b/>
                <w:bCs/>
              </w:rPr>
            </w:pPr>
            <w:r w:rsidRPr="00BE1A54">
              <w:rPr>
                <w:b/>
                <w:bCs/>
              </w:rPr>
              <w:t xml:space="preserve">Art. 49 Fondo per </w:t>
            </w:r>
            <w:r w:rsidR="00BE1A54" w:rsidRPr="00BE1A54">
              <w:rPr>
                <w:b/>
                <w:bCs/>
              </w:rPr>
              <w:t>lo sviluppo de</w:t>
            </w:r>
            <w:r w:rsidRPr="00BE1A54">
              <w:rPr>
                <w:b/>
                <w:bCs/>
              </w:rPr>
              <w:t>gli investimenti</w:t>
            </w:r>
            <w:r w:rsidR="00BE1A54" w:rsidRPr="00BE1A54">
              <w:rPr>
                <w:b/>
                <w:bCs/>
              </w:rPr>
              <w:t xml:space="preserve"> nel cinema e nell’audiovisivo</w:t>
            </w:r>
          </w:p>
          <w:p w14:paraId="64495AAD" w14:textId="77777777" w:rsidR="00BE1A54" w:rsidRPr="00BE1A54" w:rsidRDefault="00BE1A54" w:rsidP="00BE2397">
            <w:pPr>
              <w:ind w:left="360"/>
              <w:rPr>
                <w:b/>
                <w:bCs/>
              </w:rPr>
            </w:pPr>
          </w:p>
          <w:p w14:paraId="67486A9E" w14:textId="602F2A47" w:rsidR="00BE1A54" w:rsidRDefault="00BE2397" w:rsidP="00BE1A54">
            <w:pPr>
              <w:pStyle w:val="Paragrafoelenco"/>
              <w:numPr>
                <w:ilvl w:val="0"/>
                <w:numId w:val="8"/>
              </w:numPr>
            </w:pPr>
            <w:r>
              <w:t xml:space="preserve">alla regione </w:t>
            </w:r>
            <w:r w:rsidR="00BE1A54">
              <w:t xml:space="preserve"> è </w:t>
            </w:r>
            <w:r>
              <w:t xml:space="preserve">attribuita la potestà legislativa di prevedere disciplinare la rimodulazione nella misura massima del 10% da parte della regione stessa dell’importo dei contributi a valere sul fondo per lo sviluppo degli investimenti nel cinema </w:t>
            </w:r>
            <w:r w:rsidR="00BE1A54">
              <w:t xml:space="preserve">e </w:t>
            </w:r>
            <w:r>
              <w:t>nell’audiovisivo di cui alla legge 14 novembre 2016, n</w:t>
            </w:r>
            <w:r w:rsidR="00BE1A54">
              <w:t>.</w:t>
            </w:r>
            <w:r>
              <w:t>220, complessivamente assegnati a soggetti operanti nel territorio regionale all’es</w:t>
            </w:r>
            <w:r w:rsidR="00BE1A54">
              <w:t>ito</w:t>
            </w:r>
            <w:r>
              <w:t xml:space="preserve"> della procedura nazionale </w:t>
            </w:r>
          </w:p>
          <w:p w14:paraId="7A9ABD63" w14:textId="74C3FC50" w:rsidR="00B82A1E" w:rsidRDefault="00BE2397" w:rsidP="00BE2397">
            <w:pPr>
              <w:pStyle w:val="Paragrafoelenco"/>
              <w:numPr>
                <w:ilvl w:val="0"/>
                <w:numId w:val="8"/>
              </w:numPr>
            </w:pPr>
            <w:r>
              <w:t xml:space="preserve">la rimodulazione regionale di cui al comma </w:t>
            </w:r>
            <w:r w:rsidR="00BE1A54">
              <w:t>1</w:t>
            </w:r>
            <w:r>
              <w:t xml:space="preserve"> è consentita unicamente per le tipologie di contributi di cui agli </w:t>
            </w:r>
            <w:r>
              <w:lastRenderedPageBreak/>
              <w:t>articoli 23,24,25 e 26 della legge 14 novembre 2016 n</w:t>
            </w:r>
            <w:r w:rsidR="00BE1A54">
              <w:t>.</w:t>
            </w:r>
            <w:r>
              <w:t xml:space="preserve"> 200</w:t>
            </w:r>
          </w:p>
        </w:tc>
        <w:tc>
          <w:tcPr>
            <w:tcW w:w="4811" w:type="dxa"/>
          </w:tcPr>
          <w:p w14:paraId="34D56F60" w14:textId="77777777" w:rsidR="00BE2397" w:rsidRPr="00BE2397" w:rsidRDefault="00BE2397" w:rsidP="00BE2397">
            <w:pPr>
              <w:rPr>
                <w:b/>
                <w:bCs/>
              </w:rPr>
            </w:pPr>
            <w:r w:rsidRPr="00BE2397">
              <w:rPr>
                <w:b/>
                <w:bCs/>
              </w:rPr>
              <w:lastRenderedPageBreak/>
              <w:t xml:space="preserve">articolo 48 fondo unico per lo spettacolo </w:t>
            </w:r>
          </w:p>
          <w:p w14:paraId="1D6074E8" w14:textId="77777777" w:rsidR="00B82A1E" w:rsidRDefault="00B82A1E" w:rsidP="00B82A1E"/>
        </w:tc>
      </w:tr>
      <w:tr w:rsidR="00B82A1E" w14:paraId="6CABCCA7" w14:textId="77777777" w:rsidTr="00F56FAD">
        <w:tc>
          <w:tcPr>
            <w:tcW w:w="4811" w:type="dxa"/>
          </w:tcPr>
          <w:p w14:paraId="523C4015" w14:textId="77777777" w:rsidR="0023735A" w:rsidRPr="0023735A" w:rsidRDefault="0023735A" w:rsidP="0023735A">
            <w:pPr>
              <w:rPr>
                <w:b/>
                <w:bCs/>
              </w:rPr>
            </w:pPr>
            <w:r w:rsidRPr="0023735A">
              <w:rPr>
                <w:b/>
                <w:bCs/>
              </w:rPr>
              <w:t xml:space="preserve">Articolo 50 patrimonio librario </w:t>
            </w:r>
          </w:p>
          <w:p w14:paraId="0A449020" w14:textId="77777777" w:rsidR="00482522" w:rsidRDefault="0023735A" w:rsidP="00482522">
            <w:pPr>
              <w:pStyle w:val="Paragrafoelenco"/>
              <w:numPr>
                <w:ilvl w:val="0"/>
                <w:numId w:val="10"/>
              </w:numPr>
            </w:pPr>
            <w:r>
              <w:t>alla regione sono attribuite le funzioni legislative amministrative in materia di tutela e valorizzazione che abbiano ad oggetto manoscritti, autografi, carteggi, incuna</w:t>
            </w:r>
            <w:r>
              <w:t>boli</w:t>
            </w:r>
            <w:r w:rsidR="007072D1">
              <w:t xml:space="preserve">, </w:t>
            </w:r>
            <w:r w:rsidR="007072D1">
              <w:t xml:space="preserve">raccolte librarie, nonché libri, stampe e incisioni, non appartenenti allo Stato </w:t>
            </w:r>
          </w:p>
          <w:p w14:paraId="58E7395B" w14:textId="5F3EBAB4" w:rsidR="00B82A1E" w:rsidRDefault="007072D1" w:rsidP="00482522">
            <w:pPr>
              <w:pStyle w:val="Paragrafoelenco"/>
              <w:numPr>
                <w:ilvl w:val="0"/>
                <w:numId w:val="10"/>
              </w:numPr>
            </w:pPr>
            <w:r>
              <w:t xml:space="preserve">qualora l’interesse culturale dei predetti beni sia stato riconosciuto con provvedimento ministeriale, esercizio delle potestà e potestà previste dall’articolo 128 credo legislativo 22 gennaio 2004 numero 42, compete al ministero per i beni e le attività culturali </w:t>
            </w:r>
          </w:p>
        </w:tc>
        <w:tc>
          <w:tcPr>
            <w:tcW w:w="4811" w:type="dxa"/>
          </w:tcPr>
          <w:p w14:paraId="1968DFDE" w14:textId="77777777" w:rsidR="00482522" w:rsidRPr="0023735A" w:rsidRDefault="00482522" w:rsidP="00482522">
            <w:pPr>
              <w:rPr>
                <w:b/>
                <w:bCs/>
              </w:rPr>
            </w:pPr>
            <w:r w:rsidRPr="0023735A">
              <w:rPr>
                <w:b/>
                <w:bCs/>
              </w:rPr>
              <w:t xml:space="preserve">Articolo 50 patrimonio librario </w:t>
            </w:r>
          </w:p>
          <w:p w14:paraId="39903771" w14:textId="77777777" w:rsidR="00B82A1E" w:rsidRDefault="00B82A1E" w:rsidP="00B82A1E"/>
        </w:tc>
      </w:tr>
      <w:tr w:rsidR="00B82A1E" w14:paraId="4D61B6A6" w14:textId="77777777" w:rsidTr="00F56FAD">
        <w:tc>
          <w:tcPr>
            <w:tcW w:w="4811" w:type="dxa"/>
          </w:tcPr>
          <w:p w14:paraId="1D68C779" w14:textId="77777777" w:rsidR="004E2029" w:rsidRPr="004E2029" w:rsidRDefault="004E2029" w:rsidP="004E2029">
            <w:pPr>
              <w:rPr>
                <w:b/>
                <w:bCs/>
              </w:rPr>
            </w:pPr>
            <w:r w:rsidRPr="004E2029">
              <w:rPr>
                <w:b/>
                <w:bCs/>
              </w:rPr>
              <w:t xml:space="preserve">articolo 51 tutela dei beni paesaggistici </w:t>
            </w:r>
          </w:p>
          <w:p w14:paraId="15D7245F" w14:textId="374A11C9" w:rsidR="00B82A1E" w:rsidRDefault="00B82A1E" w:rsidP="00B82A1E"/>
        </w:tc>
        <w:tc>
          <w:tcPr>
            <w:tcW w:w="4811" w:type="dxa"/>
          </w:tcPr>
          <w:p w14:paraId="4EF12320" w14:textId="77777777" w:rsidR="004E2029" w:rsidRPr="004E2029" w:rsidRDefault="004E2029" w:rsidP="004E2029">
            <w:pPr>
              <w:rPr>
                <w:b/>
                <w:bCs/>
              </w:rPr>
            </w:pPr>
            <w:r w:rsidRPr="004E2029">
              <w:rPr>
                <w:b/>
                <w:bCs/>
              </w:rPr>
              <w:t xml:space="preserve">articolo 51 tutela dei beni paesaggistici </w:t>
            </w:r>
          </w:p>
          <w:p w14:paraId="40E64821" w14:textId="77777777" w:rsidR="004E2029" w:rsidRDefault="004E2029" w:rsidP="004E2029">
            <w:pPr>
              <w:pStyle w:val="Paragrafoelenco"/>
              <w:numPr>
                <w:ilvl w:val="0"/>
                <w:numId w:val="11"/>
              </w:numPr>
            </w:pPr>
            <w:r>
              <w:t xml:space="preserve"> è attribuita alla regione del Veneto la potestà legislativa </w:t>
            </w:r>
            <w:r>
              <w:t xml:space="preserve">e </w:t>
            </w:r>
            <w:r>
              <w:t xml:space="preserve">amministrativa in materia di tutela dei beni paesaggistici ai sensi dell’articolo 117 della </w:t>
            </w:r>
            <w:r>
              <w:t>C</w:t>
            </w:r>
            <w:r>
              <w:t>ostituzione</w:t>
            </w:r>
            <w:r>
              <w:t>,</w:t>
            </w:r>
            <w:r>
              <w:t xml:space="preserve"> con particolare riferimento a</w:t>
            </w:r>
            <w:r>
              <w:t>:</w:t>
            </w:r>
          </w:p>
          <w:p w14:paraId="27DF52D8" w14:textId="5DF96FC1" w:rsidR="004E2029" w:rsidRDefault="004E2029" w:rsidP="004E2029">
            <w:pPr>
              <w:pStyle w:val="Paragrafoelenco"/>
              <w:numPr>
                <w:ilvl w:val="0"/>
                <w:numId w:val="12"/>
              </w:numPr>
            </w:pPr>
            <w:r>
              <w:t>la redazione</w:t>
            </w:r>
            <w:r>
              <w:t xml:space="preserve"> e</w:t>
            </w:r>
            <w:r>
              <w:t xml:space="preserve"> l’approvazione, in via esclusiva, del piano paesaggistico regionale nonché l’attività di coordinamento </w:t>
            </w:r>
            <w:r>
              <w:t xml:space="preserve">e </w:t>
            </w:r>
            <w:r>
              <w:t>adeguamento allo stesso degli altri strumenti di pianificazione urbanistica di cui all’articolo 145, commi 2</w:t>
            </w:r>
            <w:r>
              <w:t xml:space="preserve"> e  </w:t>
            </w:r>
            <w:r>
              <w:t>4</w:t>
            </w:r>
            <w:r w:rsidR="00CB1A12">
              <w:rPr>
                <w:rStyle w:val="Rimandonotadichiusura"/>
              </w:rPr>
              <w:endnoteReference w:id="1"/>
            </w:r>
            <w:r>
              <w:t xml:space="preserve">, del decreto legislativo 22 gennaio 2004 </w:t>
            </w:r>
            <w:r>
              <w:t xml:space="preserve">n. </w:t>
            </w:r>
            <w:r>
              <w:t>42  </w:t>
            </w:r>
          </w:p>
          <w:p w14:paraId="4B4A16B0" w14:textId="15E2C683" w:rsidR="004E2029" w:rsidRDefault="004E2029" w:rsidP="004E2029">
            <w:pPr>
              <w:pStyle w:val="Paragrafoelenco"/>
              <w:numPr>
                <w:ilvl w:val="0"/>
                <w:numId w:val="12"/>
              </w:numPr>
            </w:pPr>
            <w:r>
              <w:t xml:space="preserve"> la funzione autorizzatoria di cui all’articolo 146</w:t>
            </w:r>
            <w:r>
              <w:t>,</w:t>
            </w:r>
            <w:r>
              <w:t xml:space="preserve"> comma </w:t>
            </w:r>
            <w:r>
              <w:t>5</w:t>
            </w:r>
            <w:r w:rsidR="00CB1A12">
              <w:rPr>
                <w:rStyle w:val="Rimandonotadichiusura"/>
              </w:rPr>
              <w:endnoteReference w:id="2"/>
            </w:r>
            <w:r>
              <w:t>, del decreto legislativo 22 gennaio 2004, n</w:t>
            </w:r>
            <w:r>
              <w:t>.</w:t>
            </w:r>
            <w:r>
              <w:t xml:space="preserve"> 42, senza il parere della soprintendenza </w:t>
            </w:r>
          </w:p>
          <w:p w14:paraId="26677DBD" w14:textId="53CB31CF" w:rsidR="004E2029" w:rsidRDefault="004E2029" w:rsidP="004E2029">
            <w:pPr>
              <w:pStyle w:val="Paragrafoelenco"/>
              <w:numPr>
                <w:ilvl w:val="0"/>
                <w:numId w:val="12"/>
              </w:numPr>
            </w:pPr>
            <w:r>
              <w:t xml:space="preserve"> la funzione dichiarativa, in via esclusiva, del notevole interesse pubblico degli immobili e delle aree di cui all’articolo 134 del decreto legislativo 22 gennaio 2004, </w:t>
            </w:r>
            <w:r>
              <w:t>n.</w:t>
            </w:r>
            <w:r>
              <w:t>42</w:t>
            </w:r>
            <w:r w:rsidR="00F7067A">
              <w:rPr>
                <w:rStyle w:val="Rimandonotadichiusura"/>
              </w:rPr>
              <w:endnoteReference w:id="3"/>
            </w:r>
            <w:r>
              <w:t xml:space="preserve">, nonché l’adeguamento </w:t>
            </w:r>
            <w:r>
              <w:t xml:space="preserve">o </w:t>
            </w:r>
            <w:r>
              <w:t>la revisione, parimenti in via esclusiva, del</w:t>
            </w:r>
            <w:r>
              <w:t>le</w:t>
            </w:r>
            <w:r>
              <w:t xml:space="preserve">  dichiarazioni precedenti, anche ai sensi dell’articolo 140, comma </w:t>
            </w:r>
            <w:r>
              <w:t xml:space="preserve">2, </w:t>
            </w:r>
            <w:r>
              <w:t xml:space="preserve"> del medesimo decreto</w:t>
            </w:r>
            <w:r w:rsidR="00587E1B">
              <w:rPr>
                <w:rStyle w:val="Rimandonotadichiusura"/>
              </w:rPr>
              <w:endnoteReference w:id="4"/>
            </w:r>
            <w:r>
              <w:t> </w:t>
            </w:r>
          </w:p>
          <w:p w14:paraId="799B142B" w14:textId="77777777" w:rsidR="00B82A1E" w:rsidRDefault="00B82A1E" w:rsidP="00B82A1E"/>
        </w:tc>
      </w:tr>
    </w:tbl>
    <w:p w14:paraId="1FDAF0DC" w14:textId="16C525C8" w:rsidR="00D06B77" w:rsidRDefault="00D06B77"/>
    <w:p w14:paraId="244719C3" w14:textId="77777777" w:rsidR="00BF595A" w:rsidRDefault="00BF595A"/>
    <w:sectPr w:rsidR="00BF595A" w:rsidSect="00277042">
      <w:endnotePr>
        <w:numFmt w:val="decimal"/>
      </w:endnotePr>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1AC7C" w14:textId="77777777" w:rsidR="00206230" w:rsidRDefault="00206230" w:rsidP="00CB1A12">
      <w:r>
        <w:separator/>
      </w:r>
    </w:p>
  </w:endnote>
  <w:endnote w:type="continuationSeparator" w:id="0">
    <w:p w14:paraId="19AD7074" w14:textId="77777777" w:rsidR="00206230" w:rsidRDefault="00206230" w:rsidP="00CB1A12">
      <w:r>
        <w:continuationSeparator/>
      </w:r>
    </w:p>
  </w:endnote>
  <w:endnote w:id="1">
    <w:p w14:paraId="6FE3C719" w14:textId="77777777" w:rsidR="00CB1A12" w:rsidRDefault="00CB1A12" w:rsidP="00CB1A12">
      <w:pPr>
        <w:pStyle w:val="NormaleWeb"/>
      </w:pPr>
      <w:r>
        <w:rPr>
          <w:rStyle w:val="Rimandonotadichiusura"/>
        </w:rPr>
        <w:endnoteRef/>
      </w:r>
      <w:r>
        <w:t xml:space="preserve"> </w:t>
      </w:r>
      <w:bookmarkStart w:id="0" w:name="145"/>
      <w:r>
        <w:rPr>
          <w:rFonts w:ascii="Calibri" w:hAnsi="Calibri" w:cs="Calibri"/>
          <w:b/>
          <w:bCs/>
          <w:sz w:val="20"/>
          <w:szCs w:val="20"/>
        </w:rPr>
        <w:t>Art. 145. Coordinamento della pianificazione paesaggistica con altri strumenti di pianificazione</w:t>
      </w:r>
      <w:bookmarkEnd w:id="0"/>
    </w:p>
    <w:p w14:paraId="1059F3E2" w14:textId="77777777" w:rsidR="00CB1A12" w:rsidRDefault="00CB1A12" w:rsidP="00CB1A12">
      <w:pPr>
        <w:pStyle w:val="NormaleWeb"/>
      </w:pPr>
      <w:r>
        <w:rPr>
          <w:rFonts w:ascii="Calibri" w:hAnsi="Calibri" w:cs="Calibri"/>
          <w:sz w:val="20"/>
          <w:szCs w:val="20"/>
        </w:rPr>
        <w:t>1. La individuazione, da parte del Ministero, delle linee fondamentali dell’assetto del territorio nazionale per quanto riguarda la tutela del paesaggio, con finalità di indirizzo della pianificazione, costituisce compito di rilievo nazionale, ai sensi delle vigenti disposizioni in materia di principi e criteri direttivi per il conferimento di funzioni e compiti alle regioni ed enti locali.</w:t>
      </w:r>
      <w:r>
        <w:rPr>
          <w:rFonts w:ascii="Calibri" w:hAnsi="Calibri" w:cs="Calibri"/>
          <w:sz w:val="20"/>
          <w:szCs w:val="20"/>
        </w:rPr>
        <w:br/>
      </w:r>
      <w:r>
        <w:rPr>
          <w:rFonts w:ascii="Calibri" w:hAnsi="Calibri" w:cs="Calibri"/>
          <w:i/>
          <w:iCs/>
          <w:color w:val="FF0000"/>
          <w:sz w:val="20"/>
          <w:szCs w:val="20"/>
        </w:rPr>
        <w:t>(comma così modificato dall'articolo 2 del d.lgs. n. 63 del 2008)</w:t>
      </w:r>
    </w:p>
    <w:p w14:paraId="65EDEADC" w14:textId="77777777" w:rsidR="00CB1A12" w:rsidRDefault="00CB1A12" w:rsidP="00CB1A12">
      <w:pPr>
        <w:pStyle w:val="NormaleWeb"/>
      </w:pPr>
      <w:r>
        <w:rPr>
          <w:rFonts w:ascii="Calibri" w:hAnsi="Calibri" w:cs="Calibri"/>
          <w:sz w:val="20"/>
          <w:szCs w:val="20"/>
        </w:rPr>
        <w:t>2</w:t>
      </w:r>
      <w:r w:rsidRPr="00CB1A12">
        <w:rPr>
          <w:rFonts w:ascii="Calibri" w:hAnsi="Calibri" w:cs="Calibri"/>
          <w:b/>
          <w:bCs/>
          <w:sz w:val="20"/>
          <w:szCs w:val="20"/>
        </w:rPr>
        <w:t>. I piani paesaggistici possono prevedere misure di coordinamento con gli strumenti di pianificazione territoriale e di settore, nonché con i piani, programmi e progetti nazionali e regionali di sviluppo economico.</w:t>
      </w:r>
      <w:r w:rsidRPr="00CB1A12">
        <w:rPr>
          <w:rFonts w:ascii="Calibri" w:hAnsi="Calibri" w:cs="Calibri"/>
          <w:b/>
          <w:bCs/>
          <w:sz w:val="20"/>
          <w:szCs w:val="20"/>
        </w:rPr>
        <w:br/>
      </w:r>
      <w:r>
        <w:rPr>
          <w:rFonts w:ascii="Calibri" w:hAnsi="Calibri" w:cs="Calibri"/>
          <w:i/>
          <w:iCs/>
          <w:color w:val="FF0000"/>
          <w:sz w:val="20"/>
          <w:szCs w:val="20"/>
        </w:rPr>
        <w:t>(comma modificato dall'art. 15 del d.lgs. n. 157 del 2006 poi dall'art. 2 del d.lgs. n. 63 del 2008)</w:t>
      </w:r>
    </w:p>
    <w:p w14:paraId="7357D7E1" w14:textId="77777777" w:rsidR="00CB1A12" w:rsidRDefault="00CB1A12" w:rsidP="00CB1A12">
      <w:pPr>
        <w:pStyle w:val="NormaleWeb"/>
      </w:pPr>
      <w:r>
        <w:rPr>
          <w:rFonts w:ascii="Calibri" w:hAnsi="Calibri" w:cs="Calibri"/>
          <w:sz w:val="20"/>
          <w:szCs w:val="20"/>
        </w:rPr>
        <w:t xml:space="preserve">3. Le previsioni dei piani paesaggistici di cui agli </w:t>
      </w:r>
      <w:hyperlink r:id="rId1" w:anchor="143" w:history="1">
        <w:r>
          <w:rPr>
            <w:rStyle w:val="Collegamentoipertestuale"/>
            <w:rFonts w:ascii="Calibri" w:hAnsi="Calibri" w:cs="Calibri"/>
            <w:sz w:val="20"/>
            <w:szCs w:val="20"/>
          </w:rPr>
          <w:t>articoli 143</w:t>
        </w:r>
      </w:hyperlink>
      <w:r>
        <w:rPr>
          <w:rFonts w:ascii="Calibri" w:hAnsi="Calibri" w:cs="Calibri"/>
          <w:sz w:val="20"/>
          <w:szCs w:val="20"/>
        </w:rPr>
        <w:t xml:space="preserve"> e </w:t>
      </w:r>
      <w:hyperlink r:id="rId2" w:anchor="156" w:history="1">
        <w:r>
          <w:rPr>
            <w:rStyle w:val="Collegamentoipertestuale"/>
            <w:rFonts w:ascii="Calibri" w:hAnsi="Calibri" w:cs="Calibri"/>
            <w:sz w:val="20"/>
            <w:szCs w:val="20"/>
          </w:rPr>
          <w:t>156</w:t>
        </w:r>
      </w:hyperlink>
      <w:r>
        <w:rPr>
          <w:rFonts w:ascii="Calibri" w:hAnsi="Calibri" w:cs="Calibri"/>
          <w:sz w:val="20"/>
          <w:szCs w:val="20"/>
        </w:rPr>
        <w:t xml:space="preserve"> non sono derogabili da parte di piani, programmi e progetti nazionali o regionali di sviluppo economico, sono cogenti per gli strumenti urbanistici dei comuni, delle città metropolitane e delle province, sono immediatamente prevalenti sulle disposizioni difformi eventualmente contenute negli strumenti urbanistici, stabiliscono norme di salvaguardia applicabili in attesa dell’adeguamento degli strumenti urbanistici e sono altresì vincolanti per gli interventi settoriali. Per quanto attiene alla tutela del paesaggio, le disposizioni dei piani paesaggistici sono comunque prevalenti sulle disposizioni contenute negli atti di pianificazione ad incidenza territoriale previsti dalle normative di settore, ivi compresi quelli degli enti gestori delle aree naturali protette.</w:t>
      </w:r>
      <w:r>
        <w:rPr>
          <w:rFonts w:ascii="Calibri" w:hAnsi="Calibri" w:cs="Calibri"/>
          <w:sz w:val="20"/>
          <w:szCs w:val="20"/>
        </w:rPr>
        <w:br/>
      </w:r>
      <w:r>
        <w:rPr>
          <w:rFonts w:ascii="Calibri" w:hAnsi="Calibri" w:cs="Calibri"/>
          <w:i/>
          <w:iCs/>
          <w:color w:val="FF0000"/>
          <w:sz w:val="20"/>
          <w:szCs w:val="20"/>
        </w:rPr>
        <w:t>(comma modificato dall'art. 15 del d.lgs. n. 157 del 2006 poi dall'art. 2 del d.lgs. n. 63 del 2008)</w:t>
      </w:r>
    </w:p>
    <w:p w14:paraId="45412A43" w14:textId="4026C678" w:rsidR="00CB1A12" w:rsidRDefault="00CB1A12" w:rsidP="00F7067A">
      <w:pPr>
        <w:pStyle w:val="NormaleWeb"/>
      </w:pPr>
      <w:r>
        <w:rPr>
          <w:rFonts w:ascii="Calibri" w:hAnsi="Calibri" w:cs="Calibri"/>
          <w:sz w:val="20"/>
          <w:szCs w:val="20"/>
        </w:rPr>
        <w:t xml:space="preserve">4. </w:t>
      </w:r>
      <w:r w:rsidRPr="00CB1A12">
        <w:rPr>
          <w:rFonts w:ascii="Calibri" w:hAnsi="Calibri" w:cs="Calibri"/>
          <w:b/>
          <w:bCs/>
          <w:sz w:val="20"/>
          <w:szCs w:val="20"/>
        </w:rPr>
        <w:t>I comuni, le città metropolitane, le province e gli enti gestori delle aree naturali protette conformano o adeguano gli strumenti di pianificazione urbanistica e territoriale alle previsioni dei piani paesaggistici, secondo le procedure previste dalla legge regionale, entro i termini stabiliti dai piani medesimi e comunque non oltre due anni dalla loro approvazione. I limiti alla proprietà derivanti da tali previsioni non sono oggetto di indennizzo.</w:t>
      </w:r>
      <w:r w:rsidRPr="00CB1A12">
        <w:rPr>
          <w:rFonts w:ascii="Calibri" w:hAnsi="Calibri" w:cs="Calibri"/>
          <w:b/>
          <w:bCs/>
          <w:sz w:val="20"/>
          <w:szCs w:val="20"/>
        </w:rPr>
        <w:br/>
      </w:r>
      <w:r>
        <w:rPr>
          <w:rFonts w:ascii="Calibri" w:hAnsi="Calibri" w:cs="Calibri"/>
          <w:i/>
          <w:iCs/>
          <w:color w:val="FF0000"/>
          <w:sz w:val="20"/>
          <w:szCs w:val="20"/>
        </w:rPr>
        <w:t>(comma così sostituito dall'art. 2 del d.lgs. n. 63 del 2008)</w:t>
      </w:r>
    </w:p>
  </w:endnote>
  <w:endnote w:id="2">
    <w:p w14:paraId="216F995F" w14:textId="1A2B2E36" w:rsidR="00CB1A12" w:rsidRDefault="00CB1A12" w:rsidP="00CB1A12">
      <w:pPr>
        <w:pStyle w:val="NormaleWeb"/>
        <w:rPr>
          <w:rFonts w:ascii="Calibri" w:hAnsi="Calibri" w:cs="Calibri"/>
          <w:i/>
          <w:iCs/>
          <w:color w:val="FF0000"/>
          <w:sz w:val="20"/>
          <w:szCs w:val="20"/>
        </w:rPr>
      </w:pPr>
      <w:r>
        <w:rPr>
          <w:rStyle w:val="Rimandonotadichiusura"/>
        </w:rPr>
        <w:endnoteRef/>
      </w:r>
      <w:r>
        <w:t xml:space="preserve"> </w:t>
      </w:r>
      <w:bookmarkStart w:id="1" w:name="146"/>
      <w:r>
        <w:rPr>
          <w:rFonts w:ascii="Calibri" w:hAnsi="Calibri" w:cs="Calibri"/>
          <w:b/>
          <w:bCs/>
          <w:sz w:val="20"/>
          <w:szCs w:val="20"/>
        </w:rPr>
        <w:t>Art. 146. Autorizzazione</w:t>
      </w:r>
      <w:bookmarkEnd w:id="1"/>
      <w:r>
        <w:rPr>
          <w:rFonts w:ascii="Calibri" w:hAnsi="Calibri" w:cs="Calibri"/>
        </w:rPr>
        <w:br/>
      </w:r>
      <w:r>
        <w:rPr>
          <w:rFonts w:ascii="Calibri" w:hAnsi="Calibri" w:cs="Calibri"/>
          <w:i/>
          <w:iCs/>
          <w:color w:val="FF0000"/>
          <w:sz w:val="20"/>
          <w:szCs w:val="20"/>
        </w:rPr>
        <w:t>(articolo così sostituito dall'art. 2 del d.lgs. n. 63 del 2008)</w:t>
      </w:r>
      <w:r>
        <w:rPr>
          <w:rFonts w:ascii="Calibri" w:hAnsi="Calibri" w:cs="Calibri"/>
          <w:i/>
          <w:iCs/>
          <w:color w:val="FF0000"/>
          <w:sz w:val="20"/>
          <w:szCs w:val="20"/>
        </w:rPr>
        <w:br/>
        <w:t>(per la deroga alle autorizzazioni si veda l'</w:t>
      </w:r>
      <w:hyperlink r:id="rId3" w:anchor="06" w:history="1">
        <w:r>
          <w:rPr>
            <w:rStyle w:val="Collegamentoipertestuale"/>
            <w:rFonts w:ascii="Calibri" w:hAnsi="Calibri" w:cs="Calibri"/>
            <w:i/>
            <w:iCs/>
            <w:sz w:val="20"/>
            <w:szCs w:val="20"/>
          </w:rPr>
          <w:t>art. 6, comma 4, della legge n. 164 del 2014)</w:t>
        </w:r>
      </w:hyperlink>
    </w:p>
    <w:p w14:paraId="05989C25" w14:textId="443E0147" w:rsidR="00F7067A" w:rsidRPr="00F7067A" w:rsidRDefault="00F7067A" w:rsidP="00CB1A12">
      <w:pPr>
        <w:pStyle w:val="NormaleWeb"/>
        <w:rPr>
          <w:rFonts w:ascii="Calibri" w:hAnsi="Calibri" w:cs="Calibri"/>
          <w:color w:val="000000" w:themeColor="text1"/>
          <w:sz w:val="20"/>
          <w:szCs w:val="20"/>
        </w:rPr>
      </w:pPr>
      <w:r w:rsidRPr="00F7067A">
        <w:rPr>
          <w:rFonts w:ascii="Calibri" w:hAnsi="Calibri" w:cs="Calibri"/>
          <w:color w:val="000000" w:themeColor="text1"/>
          <w:sz w:val="20"/>
          <w:szCs w:val="20"/>
        </w:rPr>
        <w:t>(…)</w:t>
      </w:r>
    </w:p>
    <w:p w14:paraId="37E655E0" w14:textId="71F0DBA2" w:rsidR="00CB1A12" w:rsidRDefault="00F7067A" w:rsidP="00F7067A">
      <w:pPr>
        <w:pStyle w:val="NormaleWeb"/>
      </w:pPr>
      <w:r>
        <w:rPr>
          <w:rFonts w:ascii="Calibri" w:hAnsi="Calibri" w:cs="Calibri"/>
          <w:sz w:val="20"/>
          <w:szCs w:val="20"/>
        </w:rPr>
        <w:t xml:space="preserve">5. </w:t>
      </w:r>
      <w:r w:rsidRPr="00F7067A">
        <w:rPr>
          <w:rFonts w:ascii="Calibri" w:hAnsi="Calibri" w:cs="Calibri"/>
          <w:b/>
          <w:bCs/>
          <w:sz w:val="20"/>
          <w:szCs w:val="20"/>
        </w:rPr>
        <w:t>Sull'istanza di autorizzazione paesaggistica si pronuncia la regione, dopo avere acquisito il parere vincolante del</w:t>
      </w:r>
      <w:r>
        <w:rPr>
          <w:rFonts w:ascii="Calibri" w:hAnsi="Calibri" w:cs="Calibri"/>
          <w:sz w:val="20"/>
          <w:szCs w:val="20"/>
        </w:rPr>
        <w:t xml:space="preserve"> </w:t>
      </w:r>
      <w:r w:rsidRPr="00F7067A">
        <w:rPr>
          <w:rFonts w:ascii="Calibri" w:hAnsi="Calibri" w:cs="Calibri"/>
          <w:b/>
          <w:bCs/>
          <w:sz w:val="20"/>
          <w:szCs w:val="20"/>
        </w:rPr>
        <w:t xml:space="preserve">soprintendente in relazione agli interventi da eseguirsi su immobili ed aree sottoposti a tutela dalla legge o in base alla legge, ai sensi del comma 1, salvo quanto disposto all'articolo </w:t>
      </w:r>
      <w:hyperlink r:id="rId4" w:anchor="143" w:history="1">
        <w:r w:rsidRPr="00F7067A">
          <w:rPr>
            <w:rStyle w:val="Collegamentoipertestuale"/>
            <w:rFonts w:ascii="Calibri" w:hAnsi="Calibri" w:cs="Calibri"/>
            <w:b/>
            <w:bCs/>
            <w:sz w:val="20"/>
            <w:szCs w:val="20"/>
          </w:rPr>
          <w:t>143, commi 4 e 5</w:t>
        </w:r>
      </w:hyperlink>
      <w:r w:rsidRPr="00F7067A">
        <w:rPr>
          <w:rFonts w:ascii="Calibri" w:hAnsi="Calibri" w:cs="Calibri"/>
          <w:b/>
          <w:bCs/>
          <w:sz w:val="20"/>
          <w:szCs w:val="20"/>
        </w:rPr>
        <w:t xml:space="preserve">. Il parere del Soprintendente, all'esito dell'approvazione delle prescrizioni d'uso dei beni paesaggistici tutelati, predisposte ai sensi degli </w:t>
      </w:r>
      <w:hyperlink r:id="rId5" w:anchor="140" w:history="1">
        <w:r w:rsidRPr="00F7067A">
          <w:rPr>
            <w:rStyle w:val="Collegamentoipertestuale"/>
            <w:rFonts w:ascii="Calibri" w:hAnsi="Calibri" w:cs="Calibri"/>
            <w:b/>
            <w:bCs/>
            <w:sz w:val="20"/>
            <w:szCs w:val="20"/>
          </w:rPr>
          <w:t>articoli 140, comma 2, 141, comma 1, 141-bis</w:t>
        </w:r>
      </w:hyperlink>
      <w:r w:rsidRPr="00F7067A">
        <w:rPr>
          <w:rFonts w:ascii="Calibri" w:hAnsi="Calibri" w:cs="Calibri"/>
          <w:b/>
          <w:bCs/>
          <w:sz w:val="20"/>
          <w:szCs w:val="20"/>
        </w:rPr>
        <w:t xml:space="preserve"> e </w:t>
      </w:r>
      <w:hyperlink r:id="rId6" w:anchor="143" w:history="1">
        <w:r w:rsidRPr="00F7067A">
          <w:rPr>
            <w:rStyle w:val="Collegamentoipertestuale"/>
            <w:rFonts w:ascii="Calibri" w:hAnsi="Calibri" w:cs="Calibri"/>
            <w:b/>
            <w:bCs/>
            <w:sz w:val="20"/>
            <w:szCs w:val="20"/>
          </w:rPr>
          <w:t>143, comma 1, lettere b), c) e d)</w:t>
        </w:r>
      </w:hyperlink>
      <w:r w:rsidRPr="00F7067A">
        <w:rPr>
          <w:rFonts w:ascii="Calibri" w:hAnsi="Calibri" w:cs="Calibri"/>
          <w:b/>
          <w:bCs/>
          <w:sz w:val="20"/>
          <w:szCs w:val="20"/>
        </w:rPr>
        <w:t>, nonché della positiva verifica da parte del Ministero su richiesta della regione interessata, dell'avvenuto adeguamento degli strumenti urbanistici, assume natura obbligatoria non vincolante ed è reso nel rispetto delle previsioni e delle prescrizioni del piano paesaggistico, entro il termine di quarantacinque giorni dalla ricezione degli atti, decorsi i quali l'amministrazione competente provvede sulla domanda di autorizzazione.</w:t>
      </w:r>
      <w:r w:rsidRPr="00F7067A">
        <w:rPr>
          <w:rFonts w:ascii="Calibri" w:hAnsi="Calibri" w:cs="Calibri"/>
          <w:b/>
          <w:bCs/>
          <w:sz w:val="20"/>
          <w:szCs w:val="20"/>
        </w:rPr>
        <w:br/>
      </w:r>
      <w:r>
        <w:rPr>
          <w:rFonts w:ascii="Calibri" w:hAnsi="Calibri" w:cs="Calibri"/>
          <w:i/>
          <w:iCs/>
          <w:color w:val="FF0000"/>
          <w:sz w:val="20"/>
          <w:szCs w:val="20"/>
        </w:rPr>
        <w:t>(comma modificato dall'art. 4, comma 16, legge n. 106 del 2011, poi così modificato dall'</w:t>
      </w:r>
      <w:hyperlink r:id="rId7" w:anchor="39" w:history="1">
        <w:r>
          <w:rPr>
            <w:rStyle w:val="Collegamentoipertestuale"/>
            <w:rFonts w:ascii="Calibri" w:hAnsi="Calibri" w:cs="Calibri"/>
            <w:i/>
            <w:iCs/>
            <w:sz w:val="20"/>
            <w:szCs w:val="20"/>
          </w:rPr>
          <w:t>art. 39, comma 1, lettera b), legge n. 98 del 2013</w:t>
        </w:r>
      </w:hyperlink>
      <w:r>
        <w:rPr>
          <w:rFonts w:ascii="Calibri" w:hAnsi="Calibri" w:cs="Calibri"/>
          <w:i/>
          <w:iCs/>
          <w:color w:val="FF0000"/>
          <w:sz w:val="20"/>
          <w:szCs w:val="20"/>
        </w:rPr>
        <w:t>)</w:t>
      </w:r>
    </w:p>
  </w:endnote>
  <w:endnote w:id="3">
    <w:p w14:paraId="6170A029" w14:textId="77777777" w:rsidR="00F7067A" w:rsidRDefault="00F7067A" w:rsidP="00F7067A">
      <w:pPr>
        <w:pStyle w:val="NormaleWeb"/>
      </w:pPr>
      <w:r>
        <w:rPr>
          <w:rStyle w:val="Rimandonotadichiusura"/>
        </w:rPr>
        <w:endnoteRef/>
      </w:r>
      <w:r>
        <w:t xml:space="preserve"> </w:t>
      </w:r>
      <w:bookmarkStart w:id="2" w:name="134"/>
      <w:r>
        <w:rPr>
          <w:rFonts w:ascii="Calibri" w:hAnsi="Calibri" w:cs="Calibri"/>
          <w:b/>
          <w:bCs/>
          <w:sz w:val="20"/>
          <w:szCs w:val="20"/>
        </w:rPr>
        <w:t xml:space="preserve">Art. 134. Beni paesaggistici </w:t>
      </w:r>
      <w:bookmarkEnd w:id="2"/>
    </w:p>
    <w:p w14:paraId="38BD3C8E" w14:textId="77777777" w:rsidR="00F7067A" w:rsidRDefault="00F7067A" w:rsidP="00F7067A">
      <w:pPr>
        <w:pStyle w:val="NormaleWeb"/>
      </w:pPr>
      <w:r>
        <w:rPr>
          <w:rFonts w:ascii="Calibri" w:hAnsi="Calibri" w:cs="Calibri"/>
          <w:sz w:val="20"/>
          <w:szCs w:val="20"/>
        </w:rPr>
        <w:t>1. Sono beni paesaggistici:</w:t>
      </w:r>
      <w:r>
        <w:rPr>
          <w:rFonts w:ascii="Calibri" w:hAnsi="Calibri" w:cs="Calibri"/>
          <w:sz w:val="20"/>
          <w:szCs w:val="20"/>
        </w:rPr>
        <w:br/>
      </w:r>
      <w:r>
        <w:rPr>
          <w:rFonts w:ascii="Calibri" w:hAnsi="Calibri" w:cs="Calibri"/>
          <w:i/>
          <w:iCs/>
          <w:color w:val="FF0000"/>
          <w:sz w:val="20"/>
          <w:szCs w:val="20"/>
        </w:rPr>
        <w:t>(comma così modificato dall'art. 2 del d.lgs. n. 63 del 2008)</w:t>
      </w:r>
    </w:p>
    <w:p w14:paraId="10410578" w14:textId="45ABE53C" w:rsidR="00F7067A" w:rsidRDefault="00F7067A" w:rsidP="005B3A88">
      <w:pPr>
        <w:pStyle w:val="NormaleWeb"/>
      </w:pPr>
      <w:r>
        <w:rPr>
          <w:rFonts w:ascii="Calibri" w:hAnsi="Calibri" w:cs="Calibri"/>
          <w:sz w:val="20"/>
          <w:szCs w:val="20"/>
        </w:rPr>
        <w:t>a) gli immobili e le aree di cui all’</w:t>
      </w:r>
      <w:hyperlink r:id="rId8" w:anchor="136" w:history="1">
        <w:r>
          <w:rPr>
            <w:rStyle w:val="Collegamentoipertestuale"/>
            <w:rFonts w:ascii="Calibri" w:hAnsi="Calibri" w:cs="Calibri"/>
            <w:sz w:val="20"/>
            <w:szCs w:val="20"/>
          </w:rPr>
          <w:t>articolo 136</w:t>
        </w:r>
      </w:hyperlink>
      <w:r>
        <w:rPr>
          <w:rFonts w:ascii="Calibri" w:hAnsi="Calibri" w:cs="Calibri"/>
          <w:sz w:val="20"/>
          <w:szCs w:val="20"/>
        </w:rPr>
        <w:t xml:space="preserve">, individuati ai sensi degli </w:t>
      </w:r>
      <w:hyperlink r:id="rId9" w:anchor="138" w:history="1">
        <w:r>
          <w:rPr>
            <w:rStyle w:val="Collegamentoipertestuale"/>
            <w:rFonts w:ascii="Calibri" w:hAnsi="Calibri" w:cs="Calibri"/>
            <w:sz w:val="20"/>
            <w:szCs w:val="20"/>
          </w:rPr>
          <w:t>articoli da 138 a 141</w:t>
        </w:r>
      </w:hyperlink>
      <w:r>
        <w:rPr>
          <w:rFonts w:ascii="Calibri" w:hAnsi="Calibri" w:cs="Calibri"/>
          <w:sz w:val="20"/>
          <w:szCs w:val="20"/>
        </w:rPr>
        <w:t>;</w:t>
      </w:r>
      <w:r>
        <w:rPr>
          <w:rFonts w:ascii="Calibri" w:hAnsi="Calibri" w:cs="Calibri"/>
          <w:sz w:val="20"/>
          <w:szCs w:val="20"/>
        </w:rPr>
        <w:br/>
        <w:t>b) le aree di cui all’</w:t>
      </w:r>
      <w:hyperlink r:id="rId10" w:anchor="142" w:history="1">
        <w:r>
          <w:rPr>
            <w:rStyle w:val="Collegamentoipertestuale"/>
            <w:rFonts w:ascii="Calibri" w:hAnsi="Calibri" w:cs="Calibri"/>
            <w:sz w:val="20"/>
            <w:szCs w:val="20"/>
          </w:rPr>
          <w:t>articolo 142</w:t>
        </w:r>
      </w:hyperlink>
      <w:r>
        <w:rPr>
          <w:rFonts w:ascii="Calibri" w:hAnsi="Calibri" w:cs="Calibri"/>
          <w:sz w:val="20"/>
          <w:szCs w:val="20"/>
        </w:rPr>
        <w:t>;</w:t>
      </w:r>
      <w:r>
        <w:rPr>
          <w:rFonts w:ascii="Calibri" w:hAnsi="Calibri" w:cs="Calibri"/>
          <w:sz w:val="20"/>
          <w:szCs w:val="20"/>
        </w:rPr>
        <w:br/>
        <w:t>c) gli ulteriori immobili ed aree specificamente individuati a termini dell'</w:t>
      </w:r>
      <w:hyperlink r:id="rId11" w:anchor="136" w:history="1">
        <w:r>
          <w:rPr>
            <w:rStyle w:val="Collegamentoipertestuale"/>
            <w:rFonts w:ascii="Calibri" w:hAnsi="Calibri" w:cs="Calibri"/>
            <w:sz w:val="20"/>
            <w:szCs w:val="20"/>
          </w:rPr>
          <w:t>articolo 136</w:t>
        </w:r>
      </w:hyperlink>
      <w:r>
        <w:rPr>
          <w:rFonts w:ascii="Calibri" w:hAnsi="Calibri" w:cs="Calibri"/>
          <w:sz w:val="20"/>
          <w:szCs w:val="20"/>
        </w:rPr>
        <w:t xml:space="preserve"> e sottoposti a tutela dai piani paesaggistici previsti dagli </w:t>
      </w:r>
      <w:hyperlink r:id="rId12" w:anchor="143" w:history="1">
        <w:r>
          <w:rPr>
            <w:rStyle w:val="Collegamentoipertestuale"/>
            <w:rFonts w:ascii="Calibri" w:hAnsi="Calibri" w:cs="Calibri"/>
            <w:sz w:val="20"/>
            <w:szCs w:val="20"/>
          </w:rPr>
          <w:t>articoli 143</w:t>
        </w:r>
      </w:hyperlink>
      <w:r>
        <w:rPr>
          <w:rFonts w:ascii="Calibri" w:hAnsi="Calibri" w:cs="Calibri"/>
          <w:sz w:val="20"/>
          <w:szCs w:val="20"/>
        </w:rPr>
        <w:t xml:space="preserve"> e </w:t>
      </w:r>
      <w:hyperlink r:id="rId13" w:anchor="156" w:history="1">
        <w:r>
          <w:rPr>
            <w:rStyle w:val="Collegamentoipertestuale"/>
            <w:rFonts w:ascii="Calibri" w:hAnsi="Calibri" w:cs="Calibri"/>
            <w:sz w:val="20"/>
            <w:szCs w:val="20"/>
          </w:rPr>
          <w:t>156</w:t>
        </w:r>
      </w:hyperlink>
      <w:r>
        <w:rPr>
          <w:rFonts w:ascii="Calibri" w:hAnsi="Calibri" w:cs="Calibri"/>
          <w:sz w:val="20"/>
          <w:szCs w:val="20"/>
        </w:rPr>
        <w:t>.</w:t>
      </w:r>
    </w:p>
  </w:endnote>
  <w:endnote w:id="4">
    <w:p w14:paraId="578ED3A8" w14:textId="77777777" w:rsidR="00587E1B" w:rsidRDefault="00587E1B" w:rsidP="00587E1B">
      <w:pPr>
        <w:pStyle w:val="NormaleWeb"/>
      </w:pPr>
      <w:r>
        <w:rPr>
          <w:rStyle w:val="Rimandonotadichiusura"/>
        </w:rPr>
        <w:endnoteRef/>
      </w:r>
      <w:r>
        <w:t xml:space="preserve"> </w:t>
      </w:r>
      <w:bookmarkStart w:id="3" w:name="140"/>
      <w:r>
        <w:rPr>
          <w:rFonts w:ascii="Calibri" w:hAnsi="Calibri" w:cs="Calibri"/>
          <w:b/>
          <w:bCs/>
          <w:sz w:val="20"/>
          <w:szCs w:val="20"/>
        </w:rPr>
        <w:t>Art. 140. Dichiarazione di notevole interesse pubblico e relative misure di conoscenza</w:t>
      </w:r>
      <w:bookmarkEnd w:id="3"/>
      <w:r>
        <w:rPr>
          <w:rFonts w:ascii="Calibri" w:hAnsi="Calibri" w:cs="Calibri"/>
        </w:rPr>
        <w:br/>
      </w:r>
      <w:r>
        <w:rPr>
          <w:rFonts w:ascii="Calibri" w:hAnsi="Calibri" w:cs="Calibri"/>
          <w:i/>
          <w:iCs/>
          <w:color w:val="FF0000"/>
          <w:sz w:val="20"/>
          <w:szCs w:val="20"/>
        </w:rPr>
        <w:t>(articolo così sostituito dall'art. 10 del d.lgs. n. 157 del 2006)</w:t>
      </w:r>
    </w:p>
    <w:p w14:paraId="1D5ABC8F" w14:textId="77777777" w:rsidR="00587E1B" w:rsidRDefault="00587E1B" w:rsidP="00587E1B">
      <w:pPr>
        <w:pStyle w:val="NormaleWeb"/>
      </w:pPr>
      <w:r>
        <w:rPr>
          <w:rFonts w:ascii="Calibri" w:hAnsi="Calibri" w:cs="Calibri"/>
          <w:sz w:val="20"/>
          <w:szCs w:val="20"/>
        </w:rPr>
        <w:t xml:space="preserve">1. La regione, sulla base della proposta della commissione, esaminati le osservazioni e i documenti e tenuto conto dell'esito dell'eventuale inchiesta pubblica, entro sessanta giorni dalla data di scadenza dei termini di cui all'articolo 139, comma 5, emana il provvedimento relativo alla dichiarazione di notevole interesse pubblico degli immobili e delle aree indicati, rispettivamente, alle </w:t>
      </w:r>
      <w:hyperlink r:id="rId14" w:anchor="136" w:history="1">
        <w:r>
          <w:rPr>
            <w:rStyle w:val="Collegamentoipertestuale"/>
            <w:rFonts w:ascii="Calibri" w:hAnsi="Calibri" w:cs="Calibri"/>
            <w:sz w:val="20"/>
            <w:szCs w:val="20"/>
          </w:rPr>
          <w:t>lettere a) e b) e alle lettere c) e d) del comma 1 dell'articolo 136</w:t>
        </w:r>
      </w:hyperlink>
      <w:r>
        <w:rPr>
          <w:rFonts w:ascii="Calibri" w:hAnsi="Calibri" w:cs="Calibri"/>
          <w:sz w:val="20"/>
          <w:szCs w:val="20"/>
        </w:rPr>
        <w:t xml:space="preserve">. </w:t>
      </w:r>
      <w:r>
        <w:rPr>
          <w:rFonts w:ascii="Calibri" w:hAnsi="Calibri" w:cs="Calibri"/>
          <w:sz w:val="20"/>
          <w:szCs w:val="20"/>
        </w:rPr>
        <w:br/>
      </w:r>
      <w:r>
        <w:rPr>
          <w:rFonts w:ascii="Calibri" w:hAnsi="Calibri" w:cs="Calibri"/>
          <w:i/>
          <w:iCs/>
          <w:color w:val="FF0000"/>
          <w:sz w:val="20"/>
          <w:szCs w:val="20"/>
        </w:rPr>
        <w:t>(comma così modificato dall'art. 2 del d.lgs. n. 63 del 2008)</w:t>
      </w:r>
    </w:p>
    <w:p w14:paraId="3D007C56" w14:textId="77777777" w:rsidR="00587E1B" w:rsidRDefault="00587E1B" w:rsidP="00587E1B">
      <w:pPr>
        <w:pStyle w:val="NormaleWeb"/>
      </w:pPr>
      <w:r w:rsidRPr="00587E1B">
        <w:rPr>
          <w:rFonts w:ascii="Calibri" w:hAnsi="Calibri" w:cs="Calibri"/>
          <w:b/>
          <w:bCs/>
          <w:sz w:val="20"/>
          <w:szCs w:val="20"/>
        </w:rPr>
        <w:t xml:space="preserve">2. La dichiarazione di notevole interesse pubblico detta la specifica disciplina intesa ad assicurare la conservazione dei valori espressi dagli aspetti e caratteri peculiari del territorio considerato. Essa costituisce parte integrante del piano paesaggistico e non è suscettibile di rimozioni o modifiche nel corso del procedimento di redazione o revisione del piano medesimo. </w:t>
      </w:r>
      <w:r w:rsidRPr="00587E1B">
        <w:rPr>
          <w:rFonts w:ascii="Calibri" w:hAnsi="Calibri" w:cs="Calibri"/>
          <w:b/>
          <w:bCs/>
          <w:sz w:val="20"/>
          <w:szCs w:val="20"/>
        </w:rPr>
        <w:br/>
      </w:r>
      <w:r>
        <w:rPr>
          <w:rFonts w:ascii="Calibri" w:hAnsi="Calibri" w:cs="Calibri"/>
          <w:i/>
          <w:iCs/>
          <w:color w:val="FF0000"/>
          <w:sz w:val="20"/>
          <w:szCs w:val="20"/>
        </w:rPr>
        <w:t>(comma così sostituito dall'art. 2 del d.lgs. n. 63 del 2008)</w:t>
      </w:r>
    </w:p>
    <w:p w14:paraId="3542A958" w14:textId="56AEC688" w:rsidR="00587E1B" w:rsidRDefault="00587E1B">
      <w:pPr>
        <w:pStyle w:val="Testonotadichiusura"/>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50780" w14:textId="77777777" w:rsidR="00206230" w:rsidRDefault="00206230" w:rsidP="00CB1A12">
      <w:r>
        <w:separator/>
      </w:r>
    </w:p>
  </w:footnote>
  <w:footnote w:type="continuationSeparator" w:id="0">
    <w:p w14:paraId="530A847E" w14:textId="77777777" w:rsidR="00206230" w:rsidRDefault="00206230" w:rsidP="00CB1A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32BF2"/>
    <w:multiLevelType w:val="hybridMultilevel"/>
    <w:tmpl w:val="E9F0488A"/>
    <w:lvl w:ilvl="0" w:tplc="01F6AE86">
      <w:start w:val="1"/>
      <w:numFmt w:val="upp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 w15:restartNumberingAfterBreak="0">
    <w:nsid w:val="0C815457"/>
    <w:multiLevelType w:val="hybridMultilevel"/>
    <w:tmpl w:val="2E222ABE"/>
    <w:lvl w:ilvl="0" w:tplc="6C28D378">
      <w:start w:val="1"/>
      <w:numFmt w:val="decimal"/>
      <w:lvlText w:val="%1)"/>
      <w:lvlJc w:val="left"/>
      <w:pPr>
        <w:ind w:left="420" w:hanging="360"/>
      </w:pPr>
      <w:rPr>
        <w:rFonts w:hint="default"/>
      </w:rPr>
    </w:lvl>
    <w:lvl w:ilvl="1" w:tplc="04100019" w:tentative="1">
      <w:start w:val="1"/>
      <w:numFmt w:val="lowerLetter"/>
      <w:lvlText w:val="%2."/>
      <w:lvlJc w:val="left"/>
      <w:pPr>
        <w:ind w:left="1140" w:hanging="360"/>
      </w:pPr>
    </w:lvl>
    <w:lvl w:ilvl="2" w:tplc="0410001B" w:tentative="1">
      <w:start w:val="1"/>
      <w:numFmt w:val="lowerRoman"/>
      <w:lvlText w:val="%3."/>
      <w:lvlJc w:val="right"/>
      <w:pPr>
        <w:ind w:left="1860" w:hanging="180"/>
      </w:pPr>
    </w:lvl>
    <w:lvl w:ilvl="3" w:tplc="0410000F" w:tentative="1">
      <w:start w:val="1"/>
      <w:numFmt w:val="decimal"/>
      <w:lvlText w:val="%4."/>
      <w:lvlJc w:val="left"/>
      <w:pPr>
        <w:ind w:left="2580" w:hanging="360"/>
      </w:pPr>
    </w:lvl>
    <w:lvl w:ilvl="4" w:tplc="04100019" w:tentative="1">
      <w:start w:val="1"/>
      <w:numFmt w:val="lowerLetter"/>
      <w:lvlText w:val="%5."/>
      <w:lvlJc w:val="left"/>
      <w:pPr>
        <w:ind w:left="3300" w:hanging="360"/>
      </w:pPr>
    </w:lvl>
    <w:lvl w:ilvl="5" w:tplc="0410001B" w:tentative="1">
      <w:start w:val="1"/>
      <w:numFmt w:val="lowerRoman"/>
      <w:lvlText w:val="%6."/>
      <w:lvlJc w:val="right"/>
      <w:pPr>
        <w:ind w:left="4020" w:hanging="180"/>
      </w:pPr>
    </w:lvl>
    <w:lvl w:ilvl="6" w:tplc="0410000F" w:tentative="1">
      <w:start w:val="1"/>
      <w:numFmt w:val="decimal"/>
      <w:lvlText w:val="%7."/>
      <w:lvlJc w:val="left"/>
      <w:pPr>
        <w:ind w:left="4740" w:hanging="360"/>
      </w:pPr>
    </w:lvl>
    <w:lvl w:ilvl="7" w:tplc="04100019" w:tentative="1">
      <w:start w:val="1"/>
      <w:numFmt w:val="lowerLetter"/>
      <w:lvlText w:val="%8."/>
      <w:lvlJc w:val="left"/>
      <w:pPr>
        <w:ind w:left="5460" w:hanging="360"/>
      </w:pPr>
    </w:lvl>
    <w:lvl w:ilvl="8" w:tplc="0410001B" w:tentative="1">
      <w:start w:val="1"/>
      <w:numFmt w:val="lowerRoman"/>
      <w:lvlText w:val="%9."/>
      <w:lvlJc w:val="right"/>
      <w:pPr>
        <w:ind w:left="6180" w:hanging="180"/>
      </w:pPr>
    </w:lvl>
  </w:abstractNum>
  <w:abstractNum w:abstractNumId="2" w15:restartNumberingAfterBreak="0">
    <w:nsid w:val="16BD09F9"/>
    <w:multiLevelType w:val="hybridMultilevel"/>
    <w:tmpl w:val="EABCD43E"/>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FDF0236"/>
    <w:multiLevelType w:val="hybridMultilevel"/>
    <w:tmpl w:val="E10ACF74"/>
    <w:lvl w:ilvl="0" w:tplc="FBFE0CCE">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 w15:restartNumberingAfterBreak="0">
    <w:nsid w:val="43E31E91"/>
    <w:multiLevelType w:val="hybridMultilevel"/>
    <w:tmpl w:val="D80CE9C8"/>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44EC4D2F"/>
    <w:multiLevelType w:val="hybridMultilevel"/>
    <w:tmpl w:val="416EACD0"/>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4DFE3C68"/>
    <w:multiLevelType w:val="hybridMultilevel"/>
    <w:tmpl w:val="851AD546"/>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4B43211"/>
    <w:multiLevelType w:val="hybridMultilevel"/>
    <w:tmpl w:val="7652BFAE"/>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56FF424E"/>
    <w:multiLevelType w:val="hybridMultilevel"/>
    <w:tmpl w:val="B5948006"/>
    <w:lvl w:ilvl="0" w:tplc="57BA0BFA">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E2A03A2"/>
    <w:multiLevelType w:val="hybridMultilevel"/>
    <w:tmpl w:val="D29A1186"/>
    <w:lvl w:ilvl="0" w:tplc="FBFE0CCE">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71E241BC"/>
    <w:multiLevelType w:val="hybridMultilevel"/>
    <w:tmpl w:val="7652BF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75D376F8"/>
    <w:multiLevelType w:val="hybridMultilevel"/>
    <w:tmpl w:val="1B888B14"/>
    <w:lvl w:ilvl="0" w:tplc="FBFE0C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718213093">
    <w:abstractNumId w:val="7"/>
  </w:num>
  <w:num w:numId="2" w16cid:durableId="119416714">
    <w:abstractNumId w:val="10"/>
  </w:num>
  <w:num w:numId="3" w16cid:durableId="740908336">
    <w:abstractNumId w:val="6"/>
  </w:num>
  <w:num w:numId="4" w16cid:durableId="1199703314">
    <w:abstractNumId w:val="5"/>
  </w:num>
  <w:num w:numId="5" w16cid:durableId="206188663">
    <w:abstractNumId w:val="3"/>
  </w:num>
  <w:num w:numId="6" w16cid:durableId="1251348595">
    <w:abstractNumId w:val="8"/>
  </w:num>
  <w:num w:numId="7" w16cid:durableId="427504505">
    <w:abstractNumId w:val="2"/>
  </w:num>
  <w:num w:numId="8" w16cid:durableId="2106803994">
    <w:abstractNumId w:val="4"/>
  </w:num>
  <w:num w:numId="9" w16cid:durableId="525943538">
    <w:abstractNumId w:val="11"/>
  </w:num>
  <w:num w:numId="10" w16cid:durableId="839736680">
    <w:abstractNumId w:val="1"/>
  </w:num>
  <w:num w:numId="11" w16cid:durableId="2096200914">
    <w:abstractNumId w:val="9"/>
  </w:num>
  <w:num w:numId="12" w16cid:durableId="11718763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08"/>
  <w:hyphenationZone w:val="283"/>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2E9"/>
    <w:rsid w:val="00206230"/>
    <w:rsid w:val="0023735A"/>
    <w:rsid w:val="00277042"/>
    <w:rsid w:val="002F2098"/>
    <w:rsid w:val="003612E9"/>
    <w:rsid w:val="00482522"/>
    <w:rsid w:val="00486A4B"/>
    <w:rsid w:val="004E2029"/>
    <w:rsid w:val="00587E1B"/>
    <w:rsid w:val="005B3A88"/>
    <w:rsid w:val="00640610"/>
    <w:rsid w:val="006A44D3"/>
    <w:rsid w:val="007072D1"/>
    <w:rsid w:val="009901D1"/>
    <w:rsid w:val="00B82A1E"/>
    <w:rsid w:val="00BE1A54"/>
    <w:rsid w:val="00BE2397"/>
    <w:rsid w:val="00BF595A"/>
    <w:rsid w:val="00CB1A12"/>
    <w:rsid w:val="00D06B77"/>
    <w:rsid w:val="00D3216C"/>
    <w:rsid w:val="00F56FAD"/>
    <w:rsid w:val="00F7067A"/>
    <w:rsid w:val="00FA32B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CBAB538"/>
  <w15:chartTrackingRefBased/>
  <w15:docId w15:val="{DC89185F-B708-0743-BCB7-338F4995A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3612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3612E9"/>
    <w:pPr>
      <w:ind w:left="720"/>
      <w:contextualSpacing/>
    </w:pPr>
  </w:style>
  <w:style w:type="paragraph" w:styleId="Testonotadichiusura">
    <w:name w:val="endnote text"/>
    <w:basedOn w:val="Normale"/>
    <w:link w:val="TestonotadichiusuraCarattere"/>
    <w:uiPriority w:val="99"/>
    <w:semiHidden/>
    <w:unhideWhenUsed/>
    <w:rsid w:val="00CB1A12"/>
    <w:rPr>
      <w:sz w:val="20"/>
      <w:szCs w:val="20"/>
    </w:rPr>
  </w:style>
  <w:style w:type="character" w:customStyle="1" w:styleId="TestonotadichiusuraCarattere">
    <w:name w:val="Testo nota di chiusura Carattere"/>
    <w:basedOn w:val="Carpredefinitoparagrafo"/>
    <w:link w:val="Testonotadichiusura"/>
    <w:uiPriority w:val="99"/>
    <w:semiHidden/>
    <w:rsid w:val="00CB1A12"/>
    <w:rPr>
      <w:sz w:val="20"/>
      <w:szCs w:val="20"/>
    </w:rPr>
  </w:style>
  <w:style w:type="character" w:styleId="Rimandonotadichiusura">
    <w:name w:val="endnote reference"/>
    <w:basedOn w:val="Carpredefinitoparagrafo"/>
    <w:uiPriority w:val="99"/>
    <w:semiHidden/>
    <w:unhideWhenUsed/>
    <w:rsid w:val="00CB1A12"/>
    <w:rPr>
      <w:vertAlign w:val="superscript"/>
    </w:rPr>
  </w:style>
  <w:style w:type="paragraph" w:styleId="NormaleWeb">
    <w:name w:val="Normal (Web)"/>
    <w:basedOn w:val="Normale"/>
    <w:uiPriority w:val="99"/>
    <w:unhideWhenUsed/>
    <w:rsid w:val="00CB1A12"/>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semiHidden/>
    <w:unhideWhenUsed/>
    <w:rsid w:val="00CB1A12"/>
    <w:rPr>
      <w:color w:val="0000FF"/>
      <w:u w:val="single"/>
    </w:rPr>
  </w:style>
  <w:style w:type="character" w:styleId="Enfasigrassetto">
    <w:name w:val="Strong"/>
    <w:basedOn w:val="Carpredefinitoparagrafo"/>
    <w:uiPriority w:val="22"/>
    <w:qFormat/>
    <w:rsid w:val="005B3A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573554">
      <w:bodyDiv w:val="1"/>
      <w:marLeft w:val="0"/>
      <w:marRight w:val="0"/>
      <w:marTop w:val="0"/>
      <w:marBottom w:val="0"/>
      <w:divBdr>
        <w:top w:val="none" w:sz="0" w:space="0" w:color="auto"/>
        <w:left w:val="none" w:sz="0" w:space="0" w:color="auto"/>
        <w:bottom w:val="none" w:sz="0" w:space="0" w:color="auto"/>
        <w:right w:val="none" w:sz="0" w:space="0" w:color="auto"/>
      </w:divBdr>
    </w:div>
    <w:div w:id="341975529">
      <w:bodyDiv w:val="1"/>
      <w:marLeft w:val="0"/>
      <w:marRight w:val="0"/>
      <w:marTop w:val="0"/>
      <w:marBottom w:val="0"/>
      <w:divBdr>
        <w:top w:val="none" w:sz="0" w:space="0" w:color="auto"/>
        <w:left w:val="none" w:sz="0" w:space="0" w:color="auto"/>
        <w:bottom w:val="none" w:sz="0" w:space="0" w:color="auto"/>
        <w:right w:val="none" w:sz="0" w:space="0" w:color="auto"/>
      </w:divBdr>
    </w:div>
    <w:div w:id="429476091">
      <w:bodyDiv w:val="1"/>
      <w:marLeft w:val="0"/>
      <w:marRight w:val="0"/>
      <w:marTop w:val="0"/>
      <w:marBottom w:val="0"/>
      <w:divBdr>
        <w:top w:val="none" w:sz="0" w:space="0" w:color="auto"/>
        <w:left w:val="none" w:sz="0" w:space="0" w:color="auto"/>
        <w:bottom w:val="none" w:sz="0" w:space="0" w:color="auto"/>
        <w:right w:val="none" w:sz="0" w:space="0" w:color="auto"/>
      </w:divBdr>
    </w:div>
    <w:div w:id="744649250">
      <w:bodyDiv w:val="1"/>
      <w:marLeft w:val="0"/>
      <w:marRight w:val="0"/>
      <w:marTop w:val="0"/>
      <w:marBottom w:val="0"/>
      <w:divBdr>
        <w:top w:val="none" w:sz="0" w:space="0" w:color="auto"/>
        <w:left w:val="none" w:sz="0" w:space="0" w:color="auto"/>
        <w:bottom w:val="none" w:sz="0" w:space="0" w:color="auto"/>
        <w:right w:val="none" w:sz="0" w:space="0" w:color="auto"/>
      </w:divBdr>
      <w:divsChild>
        <w:div w:id="1197693460">
          <w:marLeft w:val="0"/>
          <w:marRight w:val="0"/>
          <w:marTop w:val="0"/>
          <w:marBottom w:val="0"/>
          <w:divBdr>
            <w:top w:val="none" w:sz="0" w:space="0" w:color="auto"/>
            <w:left w:val="none" w:sz="0" w:space="0" w:color="auto"/>
            <w:bottom w:val="none" w:sz="0" w:space="0" w:color="auto"/>
            <w:right w:val="none" w:sz="0" w:space="0" w:color="auto"/>
          </w:divBdr>
        </w:div>
        <w:div w:id="1656569872">
          <w:marLeft w:val="0"/>
          <w:marRight w:val="0"/>
          <w:marTop w:val="0"/>
          <w:marBottom w:val="0"/>
          <w:divBdr>
            <w:top w:val="none" w:sz="0" w:space="0" w:color="auto"/>
            <w:left w:val="none" w:sz="0" w:space="0" w:color="auto"/>
            <w:bottom w:val="none" w:sz="0" w:space="0" w:color="auto"/>
            <w:right w:val="none" w:sz="0" w:space="0" w:color="auto"/>
          </w:divBdr>
        </w:div>
        <w:div w:id="1161850062">
          <w:marLeft w:val="0"/>
          <w:marRight w:val="0"/>
          <w:marTop w:val="0"/>
          <w:marBottom w:val="0"/>
          <w:divBdr>
            <w:top w:val="none" w:sz="0" w:space="0" w:color="auto"/>
            <w:left w:val="none" w:sz="0" w:space="0" w:color="auto"/>
            <w:bottom w:val="none" w:sz="0" w:space="0" w:color="auto"/>
            <w:right w:val="none" w:sz="0" w:space="0" w:color="auto"/>
          </w:divBdr>
        </w:div>
        <w:div w:id="1195458732">
          <w:marLeft w:val="0"/>
          <w:marRight w:val="0"/>
          <w:marTop w:val="0"/>
          <w:marBottom w:val="0"/>
          <w:divBdr>
            <w:top w:val="none" w:sz="0" w:space="0" w:color="auto"/>
            <w:left w:val="none" w:sz="0" w:space="0" w:color="auto"/>
            <w:bottom w:val="none" w:sz="0" w:space="0" w:color="auto"/>
            <w:right w:val="none" w:sz="0" w:space="0" w:color="auto"/>
          </w:divBdr>
        </w:div>
      </w:divsChild>
    </w:div>
    <w:div w:id="767968677">
      <w:bodyDiv w:val="1"/>
      <w:marLeft w:val="0"/>
      <w:marRight w:val="0"/>
      <w:marTop w:val="0"/>
      <w:marBottom w:val="0"/>
      <w:divBdr>
        <w:top w:val="none" w:sz="0" w:space="0" w:color="auto"/>
        <w:left w:val="none" w:sz="0" w:space="0" w:color="auto"/>
        <w:bottom w:val="none" w:sz="0" w:space="0" w:color="auto"/>
        <w:right w:val="none" w:sz="0" w:space="0" w:color="auto"/>
      </w:divBdr>
    </w:div>
    <w:div w:id="1361400096">
      <w:bodyDiv w:val="1"/>
      <w:marLeft w:val="0"/>
      <w:marRight w:val="0"/>
      <w:marTop w:val="0"/>
      <w:marBottom w:val="0"/>
      <w:divBdr>
        <w:top w:val="none" w:sz="0" w:space="0" w:color="auto"/>
        <w:left w:val="none" w:sz="0" w:space="0" w:color="auto"/>
        <w:bottom w:val="none" w:sz="0" w:space="0" w:color="auto"/>
        <w:right w:val="none" w:sz="0" w:space="0" w:color="auto"/>
      </w:divBdr>
      <w:divsChild>
        <w:div w:id="7441808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4219914">
      <w:bodyDiv w:val="1"/>
      <w:marLeft w:val="0"/>
      <w:marRight w:val="0"/>
      <w:marTop w:val="0"/>
      <w:marBottom w:val="0"/>
      <w:divBdr>
        <w:top w:val="none" w:sz="0" w:space="0" w:color="auto"/>
        <w:left w:val="none" w:sz="0" w:space="0" w:color="auto"/>
        <w:bottom w:val="none" w:sz="0" w:space="0" w:color="auto"/>
        <w:right w:val="none" w:sz="0" w:space="0" w:color="auto"/>
      </w:divBdr>
    </w:div>
    <w:div w:id="1548758561">
      <w:bodyDiv w:val="1"/>
      <w:marLeft w:val="0"/>
      <w:marRight w:val="0"/>
      <w:marTop w:val="0"/>
      <w:marBottom w:val="0"/>
      <w:divBdr>
        <w:top w:val="none" w:sz="0" w:space="0" w:color="auto"/>
        <w:left w:val="none" w:sz="0" w:space="0" w:color="auto"/>
        <w:bottom w:val="none" w:sz="0" w:space="0" w:color="auto"/>
        <w:right w:val="none" w:sz="0" w:space="0" w:color="auto"/>
      </w:divBdr>
      <w:divsChild>
        <w:div w:id="2013991477">
          <w:marLeft w:val="0"/>
          <w:marRight w:val="0"/>
          <w:marTop w:val="0"/>
          <w:marBottom w:val="0"/>
          <w:divBdr>
            <w:top w:val="none" w:sz="0" w:space="0" w:color="auto"/>
            <w:left w:val="none" w:sz="0" w:space="0" w:color="auto"/>
            <w:bottom w:val="none" w:sz="0" w:space="0" w:color="auto"/>
            <w:right w:val="none" w:sz="0" w:space="0" w:color="auto"/>
          </w:divBdr>
        </w:div>
        <w:div w:id="392460814">
          <w:marLeft w:val="0"/>
          <w:marRight w:val="0"/>
          <w:marTop w:val="0"/>
          <w:marBottom w:val="0"/>
          <w:divBdr>
            <w:top w:val="none" w:sz="0" w:space="0" w:color="auto"/>
            <w:left w:val="none" w:sz="0" w:space="0" w:color="auto"/>
            <w:bottom w:val="none" w:sz="0" w:space="0" w:color="auto"/>
            <w:right w:val="none" w:sz="0" w:space="0" w:color="auto"/>
          </w:divBdr>
        </w:div>
        <w:div w:id="386612847">
          <w:marLeft w:val="0"/>
          <w:marRight w:val="0"/>
          <w:marTop w:val="0"/>
          <w:marBottom w:val="0"/>
          <w:divBdr>
            <w:top w:val="none" w:sz="0" w:space="0" w:color="auto"/>
            <w:left w:val="none" w:sz="0" w:space="0" w:color="auto"/>
            <w:bottom w:val="none" w:sz="0" w:space="0" w:color="auto"/>
            <w:right w:val="none" w:sz="0" w:space="0" w:color="auto"/>
          </w:divBdr>
        </w:div>
        <w:div w:id="942617846">
          <w:marLeft w:val="0"/>
          <w:marRight w:val="0"/>
          <w:marTop w:val="0"/>
          <w:marBottom w:val="0"/>
          <w:divBdr>
            <w:top w:val="none" w:sz="0" w:space="0" w:color="auto"/>
            <w:left w:val="none" w:sz="0" w:space="0" w:color="auto"/>
            <w:bottom w:val="none" w:sz="0" w:space="0" w:color="auto"/>
            <w:right w:val="none" w:sz="0" w:space="0" w:color="auto"/>
          </w:divBdr>
        </w:div>
      </w:divsChild>
    </w:div>
    <w:div w:id="1825969509">
      <w:bodyDiv w:val="1"/>
      <w:marLeft w:val="0"/>
      <w:marRight w:val="0"/>
      <w:marTop w:val="0"/>
      <w:marBottom w:val="0"/>
      <w:divBdr>
        <w:top w:val="none" w:sz="0" w:space="0" w:color="auto"/>
        <w:left w:val="none" w:sz="0" w:space="0" w:color="auto"/>
        <w:bottom w:val="none" w:sz="0" w:space="0" w:color="auto"/>
        <w:right w:val="none" w:sz="0" w:space="0" w:color="auto"/>
      </w:divBdr>
    </w:div>
    <w:div w:id="1976371210">
      <w:bodyDiv w:val="1"/>
      <w:marLeft w:val="0"/>
      <w:marRight w:val="0"/>
      <w:marTop w:val="0"/>
      <w:marBottom w:val="0"/>
      <w:divBdr>
        <w:top w:val="none" w:sz="0" w:space="0" w:color="auto"/>
        <w:left w:val="none" w:sz="0" w:space="0" w:color="auto"/>
        <w:bottom w:val="none" w:sz="0" w:space="0" w:color="auto"/>
        <w:right w:val="none" w:sz="0" w:space="0" w:color="auto"/>
      </w:divBdr>
    </w:div>
    <w:div w:id="2016182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oars.it/online/ecco-le-bozze-segrete-del-regionalismo-differenziato-quale-futuro-per-scuola-e-universit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endnotes.xml.rels><?xml version="1.0" encoding="UTF-8" standalone="yes"?>
<Relationships xmlns="http://schemas.openxmlformats.org/package/2006/relationships"><Relationship Id="rId8" Type="http://schemas.openxmlformats.org/officeDocument/2006/relationships/hyperlink" Target="https://www.bosettiegatti.eu/info/norme/statali/2004_0042.htm" TargetMode="External"/><Relationship Id="rId13" Type="http://schemas.openxmlformats.org/officeDocument/2006/relationships/hyperlink" Target="https://www.bosettiegatti.eu/info/norme/statali/2004_0042.htm" TargetMode="External"/><Relationship Id="rId3" Type="http://schemas.openxmlformats.org/officeDocument/2006/relationships/hyperlink" Target="https://www.bosettiegatti.eu/info/norme/statali/2014_0164.htm" TargetMode="External"/><Relationship Id="rId7" Type="http://schemas.openxmlformats.org/officeDocument/2006/relationships/hyperlink" Target="https://www.bosettiegatti.eu/info/norme/statali/2013_0098.htm" TargetMode="External"/><Relationship Id="rId12" Type="http://schemas.openxmlformats.org/officeDocument/2006/relationships/hyperlink" Target="https://www.bosettiegatti.eu/info/norme/statali/2004_0042.htm" TargetMode="External"/><Relationship Id="rId2" Type="http://schemas.openxmlformats.org/officeDocument/2006/relationships/hyperlink" Target="https://www.bosettiegatti.eu/info/norme/statali/2004_0042.htm" TargetMode="External"/><Relationship Id="rId1" Type="http://schemas.openxmlformats.org/officeDocument/2006/relationships/hyperlink" Target="https://www.bosettiegatti.eu/info/norme/statali/2004_0042.htm" TargetMode="External"/><Relationship Id="rId6" Type="http://schemas.openxmlformats.org/officeDocument/2006/relationships/hyperlink" Target="https://www.bosettiegatti.eu/info/norme/statali/2004_0042.htm" TargetMode="External"/><Relationship Id="rId11" Type="http://schemas.openxmlformats.org/officeDocument/2006/relationships/hyperlink" Target="https://www.bosettiegatti.eu/info/norme/statali/2004_0042.htm" TargetMode="External"/><Relationship Id="rId5" Type="http://schemas.openxmlformats.org/officeDocument/2006/relationships/hyperlink" Target="https://www.bosettiegatti.eu/info/norme/statali/2004_0042.htm" TargetMode="External"/><Relationship Id="rId10" Type="http://schemas.openxmlformats.org/officeDocument/2006/relationships/hyperlink" Target="https://www.bosettiegatti.eu/info/norme/statali/2004_0042.htm" TargetMode="External"/><Relationship Id="rId4" Type="http://schemas.openxmlformats.org/officeDocument/2006/relationships/hyperlink" Target="https://www.bosettiegatti.eu/info/norme/statali/2004_0042.htm" TargetMode="External"/><Relationship Id="rId9" Type="http://schemas.openxmlformats.org/officeDocument/2006/relationships/hyperlink" Target="https://www.bosettiegatti.eu/info/norme/statali/2004_0042.htm" TargetMode="External"/><Relationship Id="rId14" Type="http://schemas.openxmlformats.org/officeDocument/2006/relationships/hyperlink" Target="https://www.bosettiegatti.eu/info/norme/statali/2004_0042.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6</Pages>
  <Words>1252</Words>
  <Characters>7138</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10</cp:revision>
  <dcterms:created xsi:type="dcterms:W3CDTF">2022-04-25T15:39:00Z</dcterms:created>
  <dcterms:modified xsi:type="dcterms:W3CDTF">2022-04-25T17:18:00Z</dcterms:modified>
</cp:coreProperties>
</file>