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744235D" w14:textId="77777777" w:rsidR="00446E26" w:rsidRDefault="00000000">
      <w:pPr>
        <w:rPr>
          <w:rFonts w:ascii="Bodoni" w:eastAsia="Bodoni" w:hAnsi="Bodoni" w:cs="Bodoni"/>
          <w:sz w:val="48"/>
          <w:szCs w:val="48"/>
        </w:rPr>
      </w:pPr>
      <w:r>
        <w:rPr>
          <w:noProof/>
        </w:rPr>
        <w:drawing>
          <wp:inline distT="0" distB="0" distL="0" distR="0" wp14:anchorId="395E9303" wp14:editId="7C3AB247">
            <wp:extent cx="1171575" cy="1171575"/>
            <wp:effectExtent l="0" t="0" r="0" b="0"/>
            <wp:docPr id="1" name="image1.png" descr="pci4"/>
            <wp:cNvGraphicFramePr/>
            <a:graphic xmlns:a="http://schemas.openxmlformats.org/drawingml/2006/main">
              <a:graphicData uri="http://schemas.openxmlformats.org/drawingml/2006/picture">
                <pic:pic xmlns:pic="http://schemas.openxmlformats.org/drawingml/2006/picture">
                  <pic:nvPicPr>
                    <pic:cNvPr id="0" name="image1.png" descr="pci4"/>
                    <pic:cNvPicPr preferRelativeResize="0"/>
                  </pic:nvPicPr>
                  <pic:blipFill>
                    <a:blip r:embed="rId5"/>
                    <a:srcRect/>
                    <a:stretch>
                      <a:fillRect/>
                    </a:stretch>
                  </pic:blipFill>
                  <pic:spPr>
                    <a:xfrm>
                      <a:off x="0" y="0"/>
                      <a:ext cx="1171575" cy="1171575"/>
                    </a:xfrm>
                    <a:prstGeom prst="rect">
                      <a:avLst/>
                    </a:prstGeom>
                    <a:ln/>
                  </pic:spPr>
                </pic:pic>
              </a:graphicData>
            </a:graphic>
          </wp:inline>
        </w:drawing>
      </w:r>
      <w:r>
        <w:rPr>
          <w:rFonts w:ascii="Bodoni" w:eastAsia="Bodoni" w:hAnsi="Bodoni" w:cs="Bodoni"/>
          <w:sz w:val="48"/>
          <w:szCs w:val="48"/>
        </w:rPr>
        <w:t>Partito Comunista Italiano</w:t>
      </w:r>
    </w:p>
    <w:p w14:paraId="7C0D62E0" w14:textId="77777777" w:rsidR="00446E26" w:rsidRDefault="00000000">
      <w:pPr>
        <w:pBdr>
          <w:top w:val="nil"/>
          <w:left w:val="nil"/>
          <w:bottom w:val="nil"/>
          <w:right w:val="nil"/>
          <w:between w:val="nil"/>
        </w:pBdr>
        <w:spacing w:before="280"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8"/>
          <w:szCs w:val="28"/>
        </w:rPr>
        <w:t>PROGRAMMA POLITICO ELEZIONI REGIONALI 2023</w:t>
      </w:r>
    </w:p>
    <w:p w14:paraId="28971F24" w14:textId="77777777" w:rsidR="00446E26" w:rsidRDefault="00446E26">
      <w:pPr>
        <w:pBdr>
          <w:top w:val="nil"/>
          <w:left w:val="nil"/>
          <w:bottom w:val="nil"/>
          <w:right w:val="nil"/>
          <w:between w:val="nil"/>
        </w:pBdr>
        <w:spacing w:before="280" w:after="0" w:line="240" w:lineRule="auto"/>
        <w:rPr>
          <w:rFonts w:ascii="Times New Roman" w:eastAsia="Times New Roman" w:hAnsi="Times New Roman" w:cs="Times New Roman"/>
          <w:color w:val="000000"/>
          <w:sz w:val="24"/>
          <w:szCs w:val="24"/>
        </w:rPr>
      </w:pPr>
    </w:p>
    <w:p w14:paraId="489273FB" w14:textId="77777777" w:rsidR="00446E26" w:rsidRDefault="00000000">
      <w:pPr>
        <w:pBdr>
          <w:top w:val="nil"/>
          <w:left w:val="nil"/>
          <w:bottom w:val="nil"/>
          <w:right w:val="nil"/>
          <w:between w:val="nil"/>
        </w:pBdr>
        <w:spacing w:before="280"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8"/>
          <w:szCs w:val="28"/>
        </w:rPr>
        <w:t>Una lavoratrice alla guida della Regione Lazio</w:t>
      </w:r>
    </w:p>
    <w:p w14:paraId="35783E19" w14:textId="77777777" w:rsidR="00446E26" w:rsidRDefault="00000000">
      <w:pPr>
        <w:pBdr>
          <w:top w:val="nil"/>
          <w:left w:val="nil"/>
          <w:bottom w:val="nil"/>
          <w:right w:val="nil"/>
          <w:between w:val="nil"/>
        </w:pBdr>
        <w:spacing w:before="280"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8"/>
          <w:szCs w:val="28"/>
        </w:rPr>
        <w:t>Il mondo del lavoro alla guida della Regione Lazio</w:t>
      </w:r>
    </w:p>
    <w:p w14:paraId="60F31DB8" w14:textId="77777777" w:rsidR="00446E26" w:rsidRDefault="00000000">
      <w:pPr>
        <w:pBdr>
          <w:top w:val="nil"/>
          <w:left w:val="nil"/>
          <w:bottom w:val="nil"/>
          <w:right w:val="nil"/>
          <w:between w:val="nil"/>
        </w:pBdr>
        <w:spacing w:before="280" w:after="0" w:line="240" w:lineRule="auto"/>
        <w:rPr>
          <w:rFonts w:ascii="Times New Roman" w:eastAsia="Times New Roman" w:hAnsi="Times New Roman" w:cs="Times New Roman"/>
          <w:color w:val="000000"/>
          <w:sz w:val="24"/>
          <w:szCs w:val="24"/>
        </w:rPr>
      </w:pPr>
      <w:r>
        <w:rPr>
          <w:rFonts w:ascii="Times New Roman" w:eastAsia="Times New Roman" w:hAnsi="Times New Roman" w:cs="Times New Roman"/>
          <w:b/>
          <w:color w:val="000000"/>
          <w:sz w:val="28"/>
          <w:szCs w:val="28"/>
        </w:rPr>
        <w:t>candidata presidente, sostenuta dalla Lista PCI, Sonia Pecorilli.</w:t>
      </w:r>
    </w:p>
    <w:p w14:paraId="69C81779" w14:textId="77777777" w:rsidR="00446E26" w:rsidRDefault="00446E26">
      <w:pPr>
        <w:pBdr>
          <w:top w:val="nil"/>
          <w:left w:val="nil"/>
          <w:bottom w:val="nil"/>
          <w:right w:val="nil"/>
          <w:between w:val="nil"/>
        </w:pBdr>
        <w:spacing w:before="280" w:after="0" w:line="240" w:lineRule="auto"/>
        <w:rPr>
          <w:rFonts w:ascii="Times New Roman" w:eastAsia="Times New Roman" w:hAnsi="Times New Roman" w:cs="Times New Roman"/>
          <w:color w:val="000000"/>
          <w:sz w:val="24"/>
          <w:szCs w:val="24"/>
        </w:rPr>
      </w:pPr>
    </w:p>
    <w:p w14:paraId="3C3971EC" w14:textId="77777777" w:rsidR="00446E26" w:rsidRDefault="00446E26">
      <w:pPr>
        <w:spacing w:before="280" w:after="0" w:line="240" w:lineRule="auto"/>
        <w:rPr>
          <w:rFonts w:ascii="Times New Roman" w:eastAsia="Times New Roman" w:hAnsi="Times New Roman" w:cs="Times New Roman"/>
          <w:sz w:val="24"/>
          <w:szCs w:val="24"/>
        </w:rPr>
      </w:pPr>
    </w:p>
    <w:p w14:paraId="02D432F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La nuova situazione politica, sociale, economica e culturale del Nostro Paese impone che ognuno dia il proprio contributo per superare le difficoltà del momento e per ripristinare, seppure in forme diverse, con la speranza di offrire uno strumento di lotta per la difesa dei diritti delle classi subalterne. Rilanciare la coscienza civile tanto devastata da lunghi anni di predominio politico e culturale delle classi dominanti e riprendere la bandiera della difesa dei diritti sociali invece di assoggettarsi agli interessi dei più forti. Le vicende politiche che il nostro Paese, stà attraversando in questi anni con il susseguirsi di politiche neoliberiste e capitalismo finanziario, esecutore delle politiche economiche e sociali suggerite, ancora meglio imposte, dalla Banca Centrale Europea e dal Fondo Monetario Internazionale, sta sviluppando politiche recessive e di vera e propria macelleria sociale attraverso lo smantellamento dello stato sociale, la cancellazione di diritti fondamentali conquistati con decenni di lotte operaie, la controriforma delle pensioni, l’innalzamento dell’età pensionabile, l’esasperazione della pressione fiscale sui lavoratori, l’estensione della precarietà a tutte le categorie dei lavoratori dipendenti e soprattutto il ridimensionamento della sanità pubblica e la progressiva privatizzazione del servizio sanitario e, conseguentemente l’introduzione delle assicurazioni sanitarie integrative. Quello che vogliamo è offrire spunti di riflessione utili e punti di vista con cui confrontarsi lealmente per verificare la possibilità, in questo periodo buio della vita del nostro Paese, in cui la democrazia popolare viene progressivamente cancellata dalla tecnocrazia e dal fascismo sempre meno occultato, di porre le basi per un movimento popolare che si ponga la finalità di contribuire dialetticamente all’elaborazione di una nuova politica. Oggi le straordinarie potenzialità delle scienze e della ricerca possono essere messe al servizio del benessere collettivo e della liberazione dell’umanità dai </w:t>
      </w:r>
      <w:r>
        <w:rPr>
          <w:rFonts w:ascii="Times New Roman" w:eastAsia="Times New Roman" w:hAnsi="Times New Roman" w:cs="Times New Roman"/>
          <w:color w:val="000000"/>
          <w:sz w:val="28"/>
          <w:szCs w:val="28"/>
        </w:rPr>
        <w:lastRenderedPageBreak/>
        <w:t xml:space="preserve">bisogni e dalle sofferenze fisiche e morali oppure, asservendosi al profitto ed agli interessi particolari, rafforzare e costruire nuovi dominii, moderne schiavitù, immani sofferenze e catastrofi umanitarie. Non sfugge ai più che le istituzioni pubbliche e private, le imprese, le assicurazioni, le banche possono modificare i loro comportamenti ed imporre condizioni differenziate nei riguardi dei cittadini sulla base delle conoscenze dei rischi di malattie evidenziabili con lo studio del patrimonio genetico degli individui. Il movimento operaio che dalla fine degli anni sessanta aveva maturato, insieme al movimento studentesco, la consapevolezza che le malattie hanno origine negli ambienti di lavoro e di vita e dalle condizioni sociali, economiche e culturali dei lavoratori e dei cittadini in generale fu la forza determinante che nella società e, attraverso i partiti che vi facevano riferimento, nel parlamento, seppe sostenere e vincere un aspro confronto con le forze della conservazione. Oggi è prioritario riformare il sistema Sanitario Nazionale restituendo alla sua complessa struttura organizzativa ed alla sua ricchezza di saperi la sua “missione”, lo scopo fondativo di prevenire, diagnosticare tempestivamente, curare le malattie, recuperare la migliore qualità di vita e le migliori condizioni funzionali e garantire le condizioni più dignitose e meno traumatiche per morire. Tuttavia la reazione dei movimenti spontanei che in questa fase cercano di contrastare e di mettere un argine alle politiche neoliberiste caratterizzate da immaturità politica e dalla mancanza di una visione strategica complessiva per il superamento del modello di sviluppo capitalistico, dimostra che il confronto è aperto e l’esito non è scontato. Pur inserita nell’attuale contesto sociale e politico, in questa specifica fase della storia che evidenzia la crisi sistemica del capitalismo e perciò con la consapevolezza che ogni messaggio culturale ed ogni proposta programmatica sono destinate ad essere superate dall’evoluzione dei rapporti di forza tra le forze sociali che si confrontano, credo che oggi sia più che mai necessario che ognuno tenti di dare un piccolissimo apporto alla costruzione di una coscienza critica dell’esistente per superarlo e migliorarlo. Da qui trae origine lo “stato sociale” o “welfare state” inteso come assunzione da parte degli stati della missione di attuare politiche finalizzate a migliorare la vita dei cittadini e di garantire loro cure mediche, istruzione, mobilità, giustizia e benessere. </w:t>
      </w:r>
    </w:p>
    <w:p w14:paraId="21B40B7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Se le forze del lavoro e le organizzazioni politiche e sociali che ad esse fanno riferimento vorranno legittimare il loro ruolo di governo e di guida della società moderna e dare uno sbocco democratico e progressivo alla crisi del capitalismo avanzato deve ricostruire un’egemonia culturale e prospettare riforme strutturali che disegnino nuovi poteri popolari, un’idea diversa dello Stato che superi il modello capitalistico, nuove relazioni tra i cittadini e tra le classi, una nuova tavola dei diritti e dei doveri e perciò ridefinisca lo Stato Sociale sulla base di una diversa gerarchia dei valori, dei bisogni delle persone. Abbiamo bisogno del se pur modesto contributo di ognuno per il benessere dell’uomo e della natura anziché dello sfruttamento ed il profitto.</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Esistono ancora margini operativi per contrapporsi efficacemente al disegno di smantellamento dello Stato Sociale.</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8"/>
          <w:szCs w:val="28"/>
        </w:rPr>
        <w:t>La coscienza collettiva sembra aver avuto una positiva evoluzione rispetto alla passata adesione acritica alla globalizzazione.</w:t>
      </w:r>
    </w:p>
    <w:p w14:paraId="1328B6FE"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lastRenderedPageBreak/>
        <w:t>L’attacco al diritto alla salute come alle altre conquiste sociali del secolo scorso da parte dei governi conservatori e reazionari è potente e subdolo, progressivo e non dichiarato, se continuiamo ad essere</w:t>
      </w:r>
      <w:r>
        <w:rPr>
          <w:rFonts w:ascii="Times New Roman" w:eastAsia="Times New Roman" w:hAnsi="Times New Roman" w:cs="Times New Roman"/>
          <w:sz w:val="28"/>
          <w:szCs w:val="28"/>
        </w:rPr>
        <w:t xml:space="preserve"> asserviti agli interessi del potere, degli apparati burocratici, delle lobbies bancarie ed assicurative possiamo diventare strumento di controllo sociale, di repressione, di discriminazione, di negazione del diritto alla privacy.</w:t>
      </w:r>
    </w:p>
    <w:p w14:paraId="1C00E1D4"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AUTONOMIA DIFFERENZIATA</w:t>
      </w:r>
    </w:p>
    <w:p w14:paraId="68E4344A"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333333"/>
          <w:sz w:val="28"/>
          <w:szCs w:val="28"/>
        </w:rPr>
        <w:t xml:space="preserve">Nella notte tra il 29 e 30 </w:t>
      </w:r>
      <w:r>
        <w:rPr>
          <w:rFonts w:ascii="Times New Roman" w:eastAsia="Times New Roman" w:hAnsi="Times New Roman" w:cs="Times New Roman"/>
          <w:color w:val="005A95"/>
          <w:sz w:val="28"/>
          <w:szCs w:val="28"/>
        </w:rPr>
        <w:t>settembre l</w:t>
      </w:r>
      <w:r>
        <w:rPr>
          <w:rFonts w:ascii="Times New Roman" w:eastAsia="Times New Roman" w:hAnsi="Times New Roman" w:cs="Times New Roman"/>
          <w:color w:val="333333"/>
          <w:sz w:val="28"/>
          <w:szCs w:val="28"/>
        </w:rPr>
        <w:t>a solita manina ha inserito tra i collegati al bilancio 2022/2023 il ddl attuativo dell'art. 116 comma 3 della Costituzione, cioè l'attuazione del vecchio cavallo di battaglia leghista e del suo progetto separatista, reso possibile dalla modifica del Titolo V° della Costituzione, voluta ed approvata dalla maggioranza di centro sinistra nel 2000.</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 xml:space="preserve">Tutto questo per dire che il partito Comunista Italiano sin da subito a cominciato a ragionare sulla netta opposizione alla legge sulla autonomia differenziata, che andrebbe a gravare sulla già profonda disparità territoriale nazionale. Proposta nel 2001 quando è entrata in vigore la riforma del titolo V della Costituzione in cui viene data possibilità per tutte le regioni a statuto ordinario di richiedere allo stato competenze esclusive su 23. Quali: rapporti internazionali e UE, commercio con estero, tutela e sicurezza lavoro, istruzione, professioni, ricerca scientifica e tecnologica, sostegno all'innovazione per settori produttivi, tutela salute, alimentazione, orientamento sportivo, protezione civile, governo del territorio, porti e aereoporti civili, reti di trasporto e navigazione, ordinamento della comunicazione, produzione, trasporto e distribuzione nazionale dell'energia, previdenza complementare ed integrativa, coordinamento finanza pubblica e sistema tributario, valorizzazione dei beni culturali, ambientali, promozione e organizzazione attività culturali, casse di risparmio, casse rurali, aziende di credito a carattere regionale, enti di credito fondiario e agrario a carattere regionale. Attivare questo progetto significherebbe frantumare la repubblica in 20 staterelli, aumento delle disuguaglianze e disparità tra regione e regione, sottraendo alla funzione regolatrice dello stato materie di fondamentale importanza per la coesione del paese., come sanità, istruzione, ambiente, trasporti, infrastrutture, beni culturali, contratti di lavoro. Stiamo assistendo ad una vera e propria prova generale di introduzione al presidenzialismo. Il Partito Comunista Italiano da sempre contrasta con forza questo ennesimo attacco alla costituzione ed ai suoi principi fondanti, che hanno disegnato una repubblica parlamentare non presidenziale. I lep livelli essenziali delle prestazioni e dei servizi devono essere garantiti su tutto il territorio nazionale. Sulla determinazione dei Lep, lo stato ha legislazione esclusiva. Accellerare la realizzazione di questa deforma costituzionale che andrebbe ad accrescere le disuguaglianze e le disparità di godimento dei diritti fondamentali di tutti i cittadini, secondo il territorio in cui risiedono. </w:t>
      </w:r>
      <w:r>
        <w:rPr>
          <w:rFonts w:ascii="Times New Roman" w:eastAsia="Times New Roman" w:hAnsi="Times New Roman" w:cs="Times New Roman"/>
          <w:color w:val="005A95"/>
          <w:sz w:val="28"/>
          <w:szCs w:val="28"/>
        </w:rPr>
        <w:t xml:space="preserve">Oggi </w:t>
      </w:r>
      <w:r>
        <w:rPr>
          <w:rFonts w:ascii="Times New Roman" w:eastAsia="Times New Roman" w:hAnsi="Times New Roman" w:cs="Times New Roman"/>
          <w:color w:val="333333"/>
          <w:sz w:val="28"/>
          <w:szCs w:val="28"/>
        </w:rPr>
        <w:t xml:space="preserve">emerge sempre più la necessità di forti politiche pubbliche nazionali volte a ridurre il divario tra nord e sud, secondo quanto ci chiede l'Europa stavolta giustamente che viene recepito anche da PNRR a parole </w:t>
      </w:r>
      <w:r>
        <w:rPr>
          <w:rFonts w:ascii="Times New Roman" w:eastAsia="Times New Roman" w:hAnsi="Times New Roman" w:cs="Times New Roman"/>
          <w:color w:val="333333"/>
          <w:sz w:val="28"/>
          <w:szCs w:val="28"/>
        </w:rPr>
        <w:lastRenderedPageBreak/>
        <w:t>per ora. Vediamo la drammatica inefficacia della sanità regionalizzata durante la pandemia già esistente e che si è dimostrata inadeguata proprio nelle regioni del nord dove vantavano eccellenze. Si finirà di rompere quel minimo equilibrio ancora garantito dalla costituzione con il principio della sussidiarietà verticale e si ridurrà la funzione di indirizzo politico unitario dello stato, che si sostanzia nella tutela della costituzionale uniforme dei diritti dei cittadini vedi art. 2, 3, 5, nella funzione di programmazione regionale art. 117, nella funzione amministrativa locale art.118 e nel principio di perequazione finanziaria art. 119. Che c'entra poi un progetto di maggiore scorticamento delle competenze dello stato centrale a favore delle regioni con un progetto di piu ampi poteri al presidente della repubblica. Quindi due proposte incompatibili che andrebbero a rendere più divisiva ed a far evaporare l'unità nazionale. No alla proposta di stipendi differenziati, no alle gabbie salariali, no all'attacco dei contratti collettivi nazionali.</w:t>
      </w:r>
      <w:r>
        <w:rPr>
          <w:rFonts w:ascii="Times New Roman" w:eastAsia="Times New Roman" w:hAnsi="Times New Roman" w:cs="Times New Roman"/>
          <w:color w:val="000000"/>
          <w:sz w:val="28"/>
          <w:szCs w:val="28"/>
        </w:rPr>
        <w:t xml:space="preserve"> </w:t>
      </w:r>
    </w:p>
    <w:p w14:paraId="15B6F684"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333333"/>
          <w:sz w:val="28"/>
          <w:szCs w:val="28"/>
        </w:rPr>
        <w:t>TRASPORTI</w:t>
      </w:r>
    </w:p>
    <w:p w14:paraId="271BF48E" w14:textId="77777777" w:rsidR="00446E26" w:rsidRDefault="00000000">
      <w:pPr>
        <w:spacing w:before="280" w:after="0" w:line="240" w:lineRule="auto"/>
        <w:rPr>
          <w:rFonts w:ascii="Times New Roman" w:eastAsia="Times New Roman" w:hAnsi="Times New Roman" w:cs="Times New Roman"/>
          <w:sz w:val="24"/>
          <w:szCs w:val="24"/>
        </w:rPr>
      </w:pPr>
      <w:bookmarkStart w:id="0" w:name="_gjdgxs" w:colFirst="0" w:colLast="0"/>
      <w:bookmarkEnd w:id="0"/>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Piano delle mobilità regionale deve rilanciare il trasporto pubblico su ferro, dire un secco no alla privatizzazione,</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no a nuove reti autostradali, porti sostenibili.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 xml:space="preserve">Il trasporto pubblico locale deve </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La Regione ha l'obbligo di garantire il trasporto pubblico locale, con servizi resi da Trenitalia, Cotral, Atac e altre Aziende pubbliche dei Comuni. La Regione deve, favorire il trasporto pubblico su ferro, non distribuire fondi per opere che servono ad incrementare il traffico privato su gomma favorendo le speculazioni a danno dell’ambiente e dei cittadini.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Se dovessimo valutare le politiche della mobilità e della logistica della precedente Amministrazione Zingaretti riceverebbe un secco no.</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E' sostanzialmente negativo il nostro giudizio poiché a fronte dell’acquisto di nuovi treni per il trasporto regionale e del rinnovo del parco vetture di Cotral non sono stati raggiunti gli obiettivi a suo tempo indicati.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I punti principali di ricostruzione di un sistema regionale di mobilità, trasporti e logistica sono i seguenti: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1.- Partecipare alla redazione del Piano regionale della mobilità, dei trasporti, della logistica.</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2.- Mettere a sistema un Fondo regionale per Mobilità, Trasporti, Logistica, Infrastrutture ove indirizzare tutte le risorse finanziarie disponibili e reperibili.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3.- Riformare le Aziende di Trasporto pubblico locale e regionale.</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4.- Creare coordinamento delle Agenzie comunali e regionali per la mobilità,</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potenziare modalità di viaggio collettivo, l’uso della bicicletta, la pedonalità.</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5.- Analizzare i flussi di traffico generati dai Piani Regolatori dei Comuni.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6.- Costruire una rete del trasporto mediante il miglioramento dell’offerta di treni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regionali.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 xml:space="preserve">7.- Sosta obbligata dei bus turistici fuori dal perimetro del centro città e utilizzo del </w:t>
      </w:r>
      <w:r>
        <w:rPr>
          <w:rFonts w:ascii="Times New Roman" w:eastAsia="Times New Roman" w:hAnsi="Times New Roman" w:cs="Times New Roman"/>
          <w:color w:val="333333"/>
          <w:sz w:val="28"/>
          <w:szCs w:val="28"/>
        </w:rPr>
        <w:lastRenderedPageBreak/>
        <w:t>sistema di TPL,</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8.- Investire su un piano della ciclabilità.</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9.- Priorità della pedonalità, rendendo agevoli i percorsi pedonali urbani ed  extraurbani.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000000"/>
          <w:sz w:val="28"/>
          <w:szCs w:val="28"/>
        </w:rPr>
        <w:br/>
      </w:r>
    </w:p>
    <w:p w14:paraId="7681B3D0"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333333"/>
          <w:sz w:val="28"/>
          <w:szCs w:val="28"/>
        </w:rPr>
        <w:t>RIFIUTI</w:t>
      </w:r>
    </w:p>
    <w:p w14:paraId="68DC36A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I rifiuti minacciano quotidianamente tutte le province del Lazio in particolare la Capitale ed affonda le sue radici in un modello di gestione basato sulle discariche e gli inceneritori, cioè sugli interessi privati dei proprietari degli impianti, ai quali in questi decenni sono stati devoluti centinaia di milioni di euro.</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Il sistema di raccolta, che a tutt‘</w:t>
      </w:r>
      <w:r>
        <w:rPr>
          <w:rFonts w:ascii="Times New Roman" w:eastAsia="Times New Roman" w:hAnsi="Times New Roman" w:cs="Times New Roman"/>
          <w:color w:val="005A95"/>
          <w:sz w:val="28"/>
          <w:szCs w:val="28"/>
        </w:rPr>
        <w:t xml:space="preserve">oggi </w:t>
      </w:r>
      <w:r>
        <w:rPr>
          <w:rFonts w:ascii="Times New Roman" w:eastAsia="Times New Roman" w:hAnsi="Times New Roman" w:cs="Times New Roman"/>
          <w:color w:val="333333"/>
          <w:sz w:val="28"/>
          <w:szCs w:val="28"/>
        </w:rPr>
        <w:t>non differenzia seriamente nemmeno il 50% dei rifiuti, è la cronica mancanza nella nostra regione di impianti di trattamento (recupero, riciclo, riuso, compostaggio, ecc) parliamo dunque di economia circolare.</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 xml:space="preserve">Occorre cambiare impostando la revisione del Piano, adottando con decisione una strategia zero scarti, zero inceneritori, zero discariche. </w:t>
      </w:r>
    </w:p>
    <w:p w14:paraId="6329D43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333333"/>
          <w:sz w:val="28"/>
          <w:szCs w:val="28"/>
        </w:rPr>
        <w:t>No secco e definitivo ai progetti di nuovi inceneritori e la chiusura dei vecchi.</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Una nuova politica che vada verso la transizione ecologica di gestione dei rifiuti dovrà promuovere il trattamento dei materiali post-utilizzo, per il riuso dei beni, il riciclo dei materiali differenziati, il recupero di materia anche dai rifiuti residuali, l’implementazione delle norme per la riduzione della produzione dei rifiuti, spingere sulla raccolta differenziata domiciliare, e sopratutto adottare la tariffa puntuale (ognuno paga in base alla quantità di rifiuti prodotta).</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Ovviamente la sostenibilità ambientale deve partire dalle persone e dal nostro stile di vita in rispetto dell'accordo sui cambiamenti climatici ed andare verso gli ambiziosi obiettivi stabiliti per il 2030.</w:t>
      </w:r>
      <w:r>
        <w:rPr>
          <w:rFonts w:ascii="Times New Roman" w:eastAsia="Times New Roman" w:hAnsi="Times New Roman" w:cs="Times New Roman"/>
          <w:color w:val="000000"/>
          <w:sz w:val="28"/>
          <w:szCs w:val="28"/>
        </w:rPr>
        <w:t xml:space="preserve"> Un NO corale da parte di tutto il partito per quanto riguarda l’avvio dell’iter per la realizzazione del nuovo inceneritore da 600mila tonnellate l’anno, da realizzarsi a Santa Palomba un territorio di circa 8 km, con una densità abitativa importante parliamo di circa 250.000 persone, che sarebbero interessate. Parliamo di un impianto non sostenibile per il territorio e per il pianeta. Nei pressi del sito insistono luoghi sensibili e di interesse storico, paesaggistico e culturale. Un enorme problema che non è stato attenzionato sarebbe la grande quantità di acqua che verrebbe utilizzata per mantenere costante la temperatura di combustione, ed in un contesto di emergenza idrica permanente per via dei cambiamenti climatici si devono prendere in considerazione i gravi danni che andranno ad interessare l’agricoltura. Oggi è necessaria la costruzione di un coordinamento territoriale a sostegno di una equilibrata e sostenibile transizione ecologica verso un’etica dell’ecologia, aperto ai cittadini di Roma e dei comuni della provincia, agli amministratori, ai comitati, alle associazioni, alle forze sociali e politiche che tramite una proposta alternativa ci si possa orientare verso la scelta di </w:t>
      </w:r>
      <w:r>
        <w:rPr>
          <w:rFonts w:ascii="Times New Roman" w:eastAsia="Times New Roman" w:hAnsi="Times New Roman" w:cs="Times New Roman"/>
          <w:color w:val="000000"/>
          <w:sz w:val="28"/>
          <w:szCs w:val="28"/>
        </w:rPr>
        <w:lastRenderedPageBreak/>
        <w:t>dire No al termovalorizzatore. Necessario un Piano Rifiuti incentrato sulla riduzione, sulla sostenibilità, sull’impiantistica non inquinante, sul riciclo e sul riuso dei rifiuti,</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investire sulla raccolta domiciliare e su nuove isole ecologiche per arrivare ad una riduzione totale dei rifiuti in linea con i dati di tutte le grandi città dove tali scelte sono già avvenute negli anni passati , raggiungimento dell’obiettivo della % massima di raccolta differenziata; realizzazione di nuovi impianti di trattamento dell’organico,</w:t>
      </w:r>
    </w:p>
    <w:p w14:paraId="56BF7EF3" w14:textId="77777777" w:rsidR="00446E26" w:rsidRDefault="00000000">
      <w:pPr>
        <w:spacing w:before="280" w:after="159"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creazione di 5 nuove filiere impiantistiche di riciclo: Tessile, RAEE, Prodotti Assorbenti per la Persona e separazione delle Terre di Spazzamento ai quali aggiungere un corretto conferimento dei rifiuti provenienti dall’Edilizia, ad oggi smaltiti pesantemente nell’indifferenziato; creazione di una nuova e tecnologicamente consolidata impiantistica del riciclo chimico delle plastiche miste.</w:t>
      </w:r>
    </w:p>
    <w:p w14:paraId="0B760DDE"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Occorrono investimenti necessari per ottimizzare il servizio, razionalizzare i tempi, ammodernare le diverse fasi della raccolta e adeguare il servizio alla singole realtà urbane.</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E’ fondamentale un oculato piano di riorganizzazione, formazione, aggiornamento del personale addetto alla raccolta dei rifiuti in qualsiasi provincia della Regione Lazio, puntando sulla raccolta differenziata attraverso strutture all’avanguardia imprescindibili per l’ottimizzazione del riciclo.</w:t>
      </w:r>
    </w:p>
    <w:p w14:paraId="4AFEAC1B"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I dati relativi al Lazio per l’anno 2021 (primo anno del post-pandemia) confermano un evidente miglioramento nella gestione virtuosa dei rifiuti. La produzione regionale totale di rifiuti per il 2021 è stata di 2.865.564 t, in aumento di circa 50 mila tonnellate rispetto al dato 2020 (anno caratterizzato dalla pandemia). La raccolta differenziata cresce di 0,9 punti e raggiunge il 53,32% (dal 52,46% dell’anno precedente), ma se si togliesse il pessimo dato di Roma, immobile al 44,9%, il resto del Lazio avrebbe in effetti il 63,8% che metterebbe la Regione in linea con le medie complessive nazionali. Questo proprio grazie a molti degli amministratori locali dei comuni piccoli e meno piccoli del Lazio, delle aziende e della Regione, con bandi e risorse dedicate e un importante piano di gestione forte dell’avvenuta approvazione in Consiglio regionale del Piano dei Rifiuti e delle sue successive modifiche che non prevedono impianti per l’incenerimento dei rifiuti. I rifiuti della Capitale però pesano moltissimo dovuto all’ ormai cronico immobilismo. A Roma manca infatti l’estensione del Porta a Porta, è inesistente l’aumento dei centri di recupero, così come l’attuazione della tariffa puntuale e l’avvio di grandi impianti industriali per l’Economia Circolare. Nel dettaglio nel Lazio sono 203 i Comuni con più del 65% di Raccolta differenziata (dati 2021). Nella Provincia sud di Roma, ai Castelli romani e verso il litorale laziale, l’area dove inciderebbe pesantemente il mega inceneritore, le percentuali di raccolta differenziata sono nella stragrande maggioranza dei casi ai livelli delle migliori città del Nord Italia e comunque ben al di sopra del 65%, obiettivo di Legge da raggiungere entro il 2012 (decreto Legislativo 5 febbraio 1997, n° 22). Ecco alcuni esempi (dati 2021): Albano Laziale 78,7%; Velletri 78%; Lanuvio 76,5%; Lariano 76,1%; Ariccia 75,4%; Castel Gandolfo 73,8%; Rocca di </w:t>
      </w:r>
      <w:r>
        <w:rPr>
          <w:rFonts w:ascii="Times New Roman" w:eastAsia="Times New Roman" w:hAnsi="Times New Roman" w:cs="Times New Roman"/>
          <w:sz w:val="28"/>
          <w:szCs w:val="28"/>
        </w:rPr>
        <w:lastRenderedPageBreak/>
        <w:t xml:space="preserve">Papa 72,6%; Ciampino 70,7%; Nemi 70,6%; Genzano 70,5%; Colonna 70,2%; Grottaferrata 69,6%; Pomezia 69,6%; Marino 67,9%. </w:t>
      </w:r>
    </w:p>
    <w:p w14:paraId="271D52F7" w14:textId="77777777" w:rsidR="00446E26" w:rsidRDefault="00000000">
      <w:pPr>
        <w:spacing w:before="280" w:after="0" w:line="240" w:lineRule="auto"/>
        <w:rPr>
          <w:rFonts w:ascii="Times New Roman" w:eastAsia="Times New Roman" w:hAnsi="Times New Roman" w:cs="Times New Roman"/>
          <w:b/>
          <w:color w:val="333333"/>
          <w:sz w:val="28"/>
          <w:szCs w:val="28"/>
        </w:rPr>
      </w:pPr>
      <w:r>
        <w:rPr>
          <w:rFonts w:ascii="Times New Roman" w:eastAsia="Times New Roman" w:hAnsi="Times New Roman" w:cs="Times New Roman"/>
          <w:b/>
          <w:color w:val="333333"/>
          <w:sz w:val="28"/>
          <w:szCs w:val="28"/>
        </w:rPr>
        <w:t>SANITA'</w:t>
      </w:r>
    </w:p>
    <w:p w14:paraId="2B04885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Una diversa organizzazione del Servizio Sanitario Nazionale che riducendo gli sperperi contenga la spesa sanitaria e permetta di garantire ancora per molto tempo a tutti i cittadini il diritto alla salute questo è l’obiettivo.</w:t>
      </w:r>
    </w:p>
    <w:p w14:paraId="67EEB3A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333333"/>
          <w:sz w:val="28"/>
          <w:szCs w:val="28"/>
        </w:rPr>
        <w:t>Il Servizio Sanitario, parte fondamentale dello Stato Sociale.</w:t>
      </w:r>
    </w:p>
    <w:p w14:paraId="4B6E6C1A" w14:textId="77777777" w:rsidR="00446E26" w:rsidRDefault="00000000">
      <w:pPr>
        <w:spacing w:before="280" w:after="0" w:line="240" w:lineRule="auto"/>
        <w:rPr>
          <w:rFonts w:ascii="Times New Roman" w:eastAsia="Times New Roman" w:hAnsi="Times New Roman" w:cs="Times New Roman"/>
          <w:sz w:val="28"/>
          <w:szCs w:val="28"/>
        </w:rPr>
      </w:pPr>
      <w:r>
        <w:rPr>
          <w:rFonts w:ascii="Times New Roman" w:eastAsia="Times New Roman" w:hAnsi="Times New Roman" w:cs="Times New Roman"/>
          <w:color w:val="333333"/>
          <w:sz w:val="28"/>
          <w:szCs w:val="28"/>
        </w:rPr>
        <w:t xml:space="preserve">Oggi per evitare che questa crisi economica sociale e sanitaria influisca negativamente sull’efficienza dei servizi e colpisca la parte più fragile della popolazione dobbiamo lavorare sull’appropriatezza e su nuovi modelli di cura e di intervento basati sull’evidenza, con l’obiettivo di coniugare innovazione ed uguaglianza, in grado di fornire cure adeguate, assistere le disabilità e tutelare il benessere psicofisico della popolazione. </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Il diritto alla salute si colloca tra i diritti sociali sanciti dalla carta costitutiva dell’ONU e nella dichiarazione universale dei diritti dell’uomo. La Costituzione Italiana dedica ampio spazio alla tutela della salute che rappresenta il presupposto per il godimento di altri diritti. Essa riconosce all’art. 32 il diritto alla salute definendolo: “…un diritto fondamentale dell’individuo e interesse della collettività, e garantisce cure gratuite agli indigenti. Questo articolo contiene una norma prescrittiva e non programmatica, il che significa che si tratta di una norma che attribuisce immediatamente un diritto a pretendere l’adozione di provvedimenti atti ad assicurare la concreta attuazione del principio di salvaguardia del diritto alla salute di cui al richiamato dettato costituzionale a tutti i cittadini italiani. </w:t>
      </w:r>
    </w:p>
    <w:p w14:paraId="6635ECE5"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Un po’ di storia.</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Con la Legge 833 del 78 si instituisce il Sistema Sanitario Nazionale Ministro Anselmi, ci sono voluti 30 anni per arrivare a questo. Arriviamo al D.lgs 502/1992 si attua la riforma che si basa sull’ aziendalizzazione della gestione e la regionalizzazione del governo della sanità Ministro De Lorenzo. Questi principi verranno poi rafforzati dalle Leggi Bassanini del 97,98,99. Sempre nel 1999 il Ministro Bindi riesce in parte a riparare ai danni creati dalle modifiche al SSN apportate dalle norme precedenti. Nel 2001 nuova riforma che conferisce una competenza concorrente alle regioni nell’organizzazione degli interventi a tutela della salute entro i vincoli dei principi cardini del SSN stabiliti dallo Stato, questo segna la fine delle grandi riforme della sanità a livello nazionale. Sempre nel 2001 vengono introdotti i LEA (Livelli Essenziali e uniformi di Assistenza ) in tutte le regioni, in pratica parliamo delle prestazioni e i servizi che il SSN è tenuto a fornire gratuitamente o dietro pagamento di una quota di partecipazione (ticket) con risorse pubbliche. E’ stata istituita la Commissione nazionale per l’aggiornamento dei Lea e la promozione dell’appropriatezza nel SSN, questo serve a garantire la validità dei LEA. Nel 2005 il Ministero della Salute decreta l’istituzione della Commissione permanente per la verifica dell’erogazione dei LEA, nel gennaio 2017con il DPCM e </w:t>
      </w:r>
      <w:r>
        <w:rPr>
          <w:rFonts w:ascii="Times New Roman" w:eastAsia="Times New Roman" w:hAnsi="Times New Roman" w:cs="Times New Roman"/>
          <w:sz w:val="28"/>
          <w:szCs w:val="28"/>
        </w:rPr>
        <w:lastRenderedPageBreak/>
        <w:t xml:space="preserve">dopo una condivisione tra stato, regioni, province autonome e società scientifiche sono stati approvati i nuovi LEA. Arriviamo ai tempi nostri, oggi ci troviamo nonostante la disponibilità dei vari governi che si sono succeduti problemi di coordinamento fra amministrazione centrale e governi regionali, nonostante questo il SSN a continuato a crescere migliorando la propria organizzazione grazie alla diffusione delle esperienze sviluppate da alcune regioni e poi estese ad altre. Nonostante questo a causa di una costante crisi economica purtroppo si è manifestato un dato allarmante e cioè la manifestazione delle disuguaglianze che la legge di riforma avrebbe dovuto cancellare proprio in rispetto della Costituzione. Ci siamo ritrovati quindi con regioni del Nord Italia con livelli qualitativi elevati ed il Sud Italia con livelli più bassi di qualità. </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Premessa: tutto questo vero ma prima che in Italia non si abbattesse un’emergenza sanitaria talmente tanto devastante da mettere in crisi un SSN logorato da 10 anni di tagli e che non è stato in grado di dare delle risposte a tutela della salute di una buona parte della popolazione. Da questo dobbiamo partire per la ricostruzione del SSN . </w:t>
      </w:r>
    </w:p>
    <w:p w14:paraId="3DCE0A06" w14:textId="77777777" w:rsidR="00446E26" w:rsidRDefault="00000000">
      <w:pPr>
        <w:spacing w:before="280" w:after="0" w:line="240" w:lineRule="auto"/>
        <w:rPr>
          <w:rFonts w:ascii="Times New Roman" w:eastAsia="Times New Roman" w:hAnsi="Times New Roman" w:cs="Times New Roman"/>
          <w:color w:val="333333"/>
          <w:sz w:val="28"/>
          <w:szCs w:val="28"/>
        </w:rPr>
      </w:pPr>
      <w:r>
        <w:rPr>
          <w:rFonts w:ascii="Times New Roman" w:eastAsia="Times New Roman" w:hAnsi="Times New Roman" w:cs="Times New Roman"/>
          <w:sz w:val="28"/>
          <w:szCs w:val="28"/>
        </w:rPr>
        <w:t xml:space="preserve">Proposte: come primo obiettivo ci poniamo quello di fare </w:t>
      </w:r>
      <w:r>
        <w:rPr>
          <w:rFonts w:ascii="Times New Roman" w:eastAsia="Times New Roman" w:hAnsi="Times New Roman" w:cs="Times New Roman"/>
          <w:b/>
          <w:sz w:val="28"/>
          <w:szCs w:val="28"/>
        </w:rPr>
        <w:t>formazione</w:t>
      </w:r>
      <w:r>
        <w:rPr>
          <w:rFonts w:ascii="Times New Roman" w:eastAsia="Times New Roman" w:hAnsi="Times New Roman" w:cs="Times New Roman"/>
          <w:sz w:val="28"/>
          <w:szCs w:val="28"/>
        </w:rPr>
        <w:t xml:space="preserve"> attraverso l’identificazione dei bisogni e dei destinatari in relazione alle fasce di età per una moderna coscienza sanitaria basata su un’adeguata educazione sanitaria del cittadino e delle comunità, caratterizzata da interventi di promozione consapevole e responsabile attraverso la scuola, volontariato, associazionismo, enti locali, promozione dell’informazione e la comunicazione del rischio, mantenimento e miglioramento della salute negli ambienti di vita e lavorativi, perché siamo convinti che un’adeguata educazione sanitaria possa contribuire a ridurre anche la disuguaglianza tra i cittadini. </w:t>
      </w:r>
      <w:r>
        <w:rPr>
          <w:rFonts w:ascii="Times New Roman" w:eastAsia="Times New Roman" w:hAnsi="Times New Roman" w:cs="Times New Roman"/>
          <w:b/>
          <w:sz w:val="28"/>
          <w:szCs w:val="28"/>
        </w:rPr>
        <w:t xml:space="preserve">Promuovere la prevenzione </w:t>
      </w:r>
      <w:r>
        <w:rPr>
          <w:rFonts w:ascii="Times New Roman" w:eastAsia="Times New Roman" w:hAnsi="Times New Roman" w:cs="Times New Roman"/>
          <w:sz w:val="28"/>
          <w:szCs w:val="28"/>
        </w:rPr>
        <w:t xml:space="preserve">è necessario per conservare lo stato di salute ed evitare l’insorgenza delle malattie. </w:t>
      </w:r>
      <w:r>
        <w:rPr>
          <w:rFonts w:ascii="Times New Roman" w:eastAsia="Times New Roman" w:hAnsi="Times New Roman" w:cs="Times New Roman"/>
          <w:b/>
          <w:sz w:val="28"/>
          <w:szCs w:val="28"/>
        </w:rPr>
        <w:t>Potenziare lo screening</w:t>
      </w:r>
      <w:r>
        <w:rPr>
          <w:rFonts w:ascii="Times New Roman" w:eastAsia="Times New Roman" w:hAnsi="Times New Roman" w:cs="Times New Roman"/>
          <w:sz w:val="28"/>
          <w:szCs w:val="28"/>
        </w:rPr>
        <w:t xml:space="preserve"> che serve sostanzialmente ad identificare la patologia in una fase precoce dandoci la possibilità di trattamento e guarigione più alte. </w:t>
      </w:r>
      <w:r>
        <w:rPr>
          <w:rFonts w:ascii="Times New Roman" w:eastAsia="Times New Roman" w:hAnsi="Times New Roman" w:cs="Times New Roman"/>
          <w:b/>
          <w:sz w:val="28"/>
          <w:szCs w:val="28"/>
        </w:rPr>
        <w:t>Promuovere l’attività fisica</w:t>
      </w:r>
      <w:r>
        <w:rPr>
          <w:rFonts w:ascii="Times New Roman" w:eastAsia="Times New Roman" w:hAnsi="Times New Roman" w:cs="Times New Roman"/>
          <w:sz w:val="28"/>
          <w:szCs w:val="28"/>
        </w:rPr>
        <w:t xml:space="preserve"> quale fattore trainante per il benessere e la salute delle popolazioni. </w:t>
      </w:r>
      <w:r>
        <w:rPr>
          <w:rFonts w:ascii="Times New Roman" w:eastAsia="Times New Roman" w:hAnsi="Times New Roman" w:cs="Times New Roman"/>
          <w:b/>
          <w:sz w:val="28"/>
          <w:szCs w:val="28"/>
        </w:rPr>
        <w:t>Introdurre una strategia che prevedono l’utilizzo di programmi in grado di riunire dati clinici,</w:t>
      </w:r>
      <w:r>
        <w:rPr>
          <w:rFonts w:ascii="Times New Roman" w:eastAsia="Times New Roman" w:hAnsi="Times New Roman" w:cs="Times New Roman"/>
          <w:sz w:val="28"/>
          <w:szCs w:val="28"/>
        </w:rPr>
        <w:t xml:space="preserve"> finanziari e operativi da tutta l’azienda (ospedali, ambulatori, cliniche) e di fornire in tempo reale strumenti per contribuire a migliorare l’efficienza e la cura dei pazienti.</w:t>
      </w:r>
      <w:r>
        <w:rPr>
          <w:rFonts w:ascii="Times New Roman" w:eastAsia="Times New Roman" w:hAnsi="Times New Roman" w:cs="Times New Roman"/>
          <w:b/>
          <w:sz w:val="28"/>
          <w:szCs w:val="28"/>
        </w:rPr>
        <w:t xml:space="preserve"> Potenziare l’assistenza territoriale</w:t>
      </w:r>
      <w:r>
        <w:rPr>
          <w:rFonts w:ascii="Times New Roman" w:eastAsia="Times New Roman" w:hAnsi="Times New Roman" w:cs="Times New Roman"/>
          <w:sz w:val="28"/>
          <w:szCs w:val="28"/>
        </w:rPr>
        <w:t xml:space="preserve"> che racchiude tutte quelle prestazioni preventive, mediche, infermieristiche, palliative e riabilitative a favore degli assistiti erogate nell’ambito dell’assistenza sanitaria territoriale, quindi fuori dal contesto ospedaliero. Rendere appropriata l’assistenza primaria che deve intercettare sul territorio la domanda di salute, governare attraverso i medici di medicina generale i percorsi sanitari garantendone l’appropriatezza, assicurare la continuità assistenziale tra i diversi livelli di cura. </w:t>
      </w:r>
      <w:r>
        <w:rPr>
          <w:rFonts w:ascii="Times New Roman" w:eastAsia="Times New Roman" w:hAnsi="Times New Roman" w:cs="Times New Roman"/>
          <w:b/>
          <w:sz w:val="28"/>
          <w:szCs w:val="28"/>
        </w:rPr>
        <w:t xml:space="preserve">Valorizzare la figura dell’infermiere di famiglia e di comunità, </w:t>
      </w:r>
      <w:r>
        <w:rPr>
          <w:rFonts w:ascii="Times New Roman" w:eastAsia="Times New Roman" w:hAnsi="Times New Roman" w:cs="Times New Roman"/>
          <w:sz w:val="28"/>
          <w:szCs w:val="28"/>
        </w:rPr>
        <w:t xml:space="preserve">non esistendo ancora una normativa a livello nazionale si ritiene necessaria la presenza di tale figura per rendere omogenea la tipologia di assistenza che si vuole garantire in quanto alcune regioni hanno già approvato alcuni provvedimenti, gestire le cronicità sulla base dell’invecchiamento della popolazione e della conseguente intensificazione della complessità assistenziale in relazione </w:t>
      </w:r>
      <w:r>
        <w:rPr>
          <w:rFonts w:ascii="Times New Roman" w:eastAsia="Times New Roman" w:hAnsi="Times New Roman" w:cs="Times New Roman"/>
          <w:sz w:val="28"/>
          <w:szCs w:val="28"/>
        </w:rPr>
        <w:lastRenderedPageBreak/>
        <w:t xml:space="preserve">all’aumento della gravità delle patologie, delle disabilità correlate e probabilità di non auto sufficienza vista la progressiva riduzione della tradizionale assistenza familiare. </w:t>
      </w:r>
      <w:r>
        <w:rPr>
          <w:rFonts w:ascii="Times New Roman" w:eastAsia="Times New Roman" w:hAnsi="Times New Roman" w:cs="Times New Roman"/>
          <w:b/>
          <w:sz w:val="28"/>
          <w:szCs w:val="28"/>
        </w:rPr>
        <w:t xml:space="preserve">Implementare l’assistenza sanitaria domiciliare e l’assistenza domiciliare integrata essendo queste comprese nei Lea </w:t>
      </w:r>
      <w:r>
        <w:rPr>
          <w:rFonts w:ascii="Times New Roman" w:eastAsia="Times New Roman" w:hAnsi="Times New Roman" w:cs="Times New Roman"/>
          <w:sz w:val="28"/>
          <w:szCs w:val="28"/>
        </w:rPr>
        <w:t xml:space="preserve">devono essere garantite attuando un percorso assistenziale mirato alla persona malata. </w:t>
      </w:r>
      <w:r>
        <w:rPr>
          <w:rFonts w:ascii="Times New Roman" w:eastAsia="Times New Roman" w:hAnsi="Times New Roman" w:cs="Times New Roman"/>
          <w:b/>
          <w:sz w:val="28"/>
          <w:szCs w:val="28"/>
        </w:rPr>
        <w:t xml:space="preserve">Attuare una programmazione strategica e partecipata degli interventi e dei servizi sociali, </w:t>
      </w:r>
      <w:r>
        <w:rPr>
          <w:rFonts w:ascii="Times New Roman" w:eastAsia="Times New Roman" w:hAnsi="Times New Roman" w:cs="Times New Roman"/>
          <w:sz w:val="28"/>
          <w:szCs w:val="28"/>
        </w:rPr>
        <w:t xml:space="preserve">quindi una corretta integrazione socio sanitaria. Necessario in ambito di salute </w:t>
      </w:r>
      <w:r>
        <w:rPr>
          <w:rFonts w:ascii="Times New Roman" w:eastAsia="Times New Roman" w:hAnsi="Times New Roman" w:cs="Times New Roman"/>
          <w:b/>
          <w:sz w:val="28"/>
          <w:szCs w:val="28"/>
        </w:rPr>
        <w:t xml:space="preserve">l’ampiamento dell’assistenza integrativa </w:t>
      </w:r>
      <w:r>
        <w:rPr>
          <w:rFonts w:ascii="Times New Roman" w:eastAsia="Times New Roman" w:hAnsi="Times New Roman" w:cs="Times New Roman"/>
          <w:sz w:val="28"/>
          <w:szCs w:val="28"/>
        </w:rPr>
        <w:t xml:space="preserve">oggi ogni regione può sulla base delle proprie risorse aumentare l’erogazione. Per quanto riguarda le dipendenze fenomeno in costante aumento è preoccupante il dato che ci viene fornito e cioè l’abbassamento dell’età dei soggetti dipendenti, il quadro che ci si prospetta è delineato da una scarsa possibilità di accedere a strutture intermedie e di supporto. </w:t>
      </w:r>
      <w:r>
        <w:rPr>
          <w:rFonts w:ascii="Times New Roman" w:eastAsia="Times New Roman" w:hAnsi="Times New Roman" w:cs="Times New Roman"/>
          <w:b/>
          <w:sz w:val="28"/>
          <w:szCs w:val="28"/>
        </w:rPr>
        <w:t xml:space="preserve">Potenziare l’assistenza primaria anche attraverso le case della salute, </w:t>
      </w:r>
      <w:r>
        <w:rPr>
          <w:rFonts w:ascii="Times New Roman" w:eastAsia="Times New Roman" w:hAnsi="Times New Roman" w:cs="Times New Roman"/>
          <w:sz w:val="28"/>
          <w:szCs w:val="28"/>
        </w:rPr>
        <w:t xml:space="preserve">definita struttura sanitaria di prossimità considerandoli presidi strategici dei distretti, fornendo così una risposta unitaria anche alle aspettative di assistenza sociale della popolazione. Ripristinare gli ospedali di prossimità che ha la caratteristica di essere un primo avanposto e punto di accoglienza creando una nuova organizzazione del sistema salute e una maggiore umanizzazione del rapporto con l’utenza. Rappresentano un futuro equilibrio nella distribuzione delle strutture sanitarie sul territorio, facciamoli funzionare. </w:t>
      </w:r>
      <w:r>
        <w:rPr>
          <w:rFonts w:ascii="Times New Roman" w:eastAsia="Times New Roman" w:hAnsi="Times New Roman" w:cs="Times New Roman"/>
          <w:b/>
          <w:sz w:val="28"/>
          <w:szCs w:val="28"/>
        </w:rPr>
        <w:t>Attuare una maggiore assistenza sanitaria alla popolazione detenuta ed alle persone immigrate,</w:t>
      </w:r>
      <w:r>
        <w:rPr>
          <w:rFonts w:ascii="Times New Roman" w:eastAsia="Times New Roman" w:hAnsi="Times New Roman" w:cs="Times New Roman"/>
          <w:sz w:val="28"/>
          <w:szCs w:val="28"/>
        </w:rPr>
        <w:t xml:space="preserve"> secondo i dettami della nostra Costituzione, purtroppo però l’attuazione di queste norme non è la stessa in tutta Italia, in alcune regioni ad esempio l’accesso alle cure per i migranti è reso difficile, questo è grave in quanto insieme ai detenuti considerati soggetti vulnerabili. </w:t>
      </w:r>
      <w:r>
        <w:rPr>
          <w:rFonts w:ascii="Times New Roman" w:eastAsia="Times New Roman" w:hAnsi="Times New Roman" w:cs="Times New Roman"/>
          <w:b/>
          <w:sz w:val="28"/>
          <w:szCs w:val="28"/>
        </w:rPr>
        <w:t>Fondamentale è la gestione dell’assistenza ospedaliera che è garantita dal SSN attraverso una serie di prestazioni incluse nei LEA,</w:t>
      </w:r>
      <w:r>
        <w:rPr>
          <w:rFonts w:ascii="Times New Roman" w:eastAsia="Times New Roman" w:hAnsi="Times New Roman" w:cs="Times New Roman"/>
          <w:sz w:val="28"/>
          <w:szCs w:val="28"/>
        </w:rPr>
        <w:t xml:space="preserve"> in questo periodo storico dopo l’ emergenza sanitaria gli ospedali sono stati ridotti al collasso quindi si </w:t>
      </w:r>
      <w:r>
        <w:rPr>
          <w:rFonts w:ascii="Times New Roman" w:eastAsia="Times New Roman" w:hAnsi="Times New Roman" w:cs="Times New Roman"/>
          <w:b/>
          <w:sz w:val="28"/>
          <w:szCs w:val="28"/>
        </w:rPr>
        <w:t xml:space="preserve">propone la riorganizzazione attraverso una riforma ospedaliera che sia al passo con i tempi ed in grado di contenere qualsiasi evento e garantire servizi sempre più appropriati alle esigenze dei pazienti attraverso l’ umanizzazione, urbanità, socialità, organizzazione, interattività, appropriatezza, innovazione, affidabilità, ricerca, formazione. </w:t>
      </w:r>
      <w:r>
        <w:rPr>
          <w:rFonts w:ascii="Times New Roman" w:eastAsia="Times New Roman" w:hAnsi="Times New Roman" w:cs="Times New Roman"/>
          <w:sz w:val="28"/>
          <w:szCs w:val="28"/>
        </w:rPr>
        <w:t>Abbiamo fortemente bisogno oggi che ci sia un’integrazione tra ospedale e territorio purtroppo questa scarsa integrazione è sostanzialmente dovuta alla complessità delle funzioni utilizzo inappropriato delle risorse e scarsa comunicazione tra categorie, è indispensabile definire a tavolino e con la massima attenzione tutti i processi, sostanzialmente l’integrazione si realizza solo grazie alle persone.</w:t>
      </w:r>
      <w:r>
        <w:rPr>
          <w:rFonts w:ascii="Times New Roman" w:eastAsia="Times New Roman" w:hAnsi="Times New Roman" w:cs="Times New Roman"/>
          <w:b/>
          <w:sz w:val="28"/>
          <w:szCs w:val="28"/>
        </w:rPr>
        <w:t xml:space="preserve"> Potenziare i PDTA piani interdisciplinari di cura ed assistenza, </w:t>
      </w:r>
      <w:r>
        <w:rPr>
          <w:rFonts w:ascii="Times New Roman" w:eastAsia="Times New Roman" w:hAnsi="Times New Roman" w:cs="Times New Roman"/>
          <w:sz w:val="28"/>
          <w:szCs w:val="28"/>
        </w:rPr>
        <w:t xml:space="preserve">essi sono costruiti sulla base delle migliori pratiche cliniche, per gruppi specifici di pazienti, è importante migliorare la comunicazione tra ospedale e territorio proprio per rendere funzionali tutti i dati in rete permettendo agli operatori di interagire in maniera appropriata alle varie esigenze. </w:t>
      </w:r>
      <w:r>
        <w:rPr>
          <w:rFonts w:ascii="Times New Roman" w:eastAsia="Times New Roman" w:hAnsi="Times New Roman" w:cs="Times New Roman"/>
          <w:b/>
          <w:sz w:val="28"/>
          <w:szCs w:val="28"/>
        </w:rPr>
        <w:t xml:space="preserve">Le RSA Residenze Sanitarie Assistenziali invece sono in numero inadeguato per poter ospitare gli anziani ed i disabili non autosufficienti, </w:t>
      </w:r>
      <w:r>
        <w:rPr>
          <w:rFonts w:ascii="Times New Roman" w:eastAsia="Times New Roman" w:hAnsi="Times New Roman" w:cs="Times New Roman"/>
          <w:sz w:val="28"/>
          <w:szCs w:val="28"/>
        </w:rPr>
        <w:t xml:space="preserve">serve realizzare le </w:t>
      </w:r>
      <w:r>
        <w:rPr>
          <w:rFonts w:ascii="Times New Roman" w:eastAsia="Times New Roman" w:hAnsi="Times New Roman" w:cs="Times New Roman"/>
          <w:b/>
          <w:sz w:val="28"/>
          <w:szCs w:val="28"/>
        </w:rPr>
        <w:t>RSA a livello di prossimità onde evitare di allontanare gli anziani dall’ambito familiare.</w:t>
      </w:r>
      <w:r>
        <w:rPr>
          <w:rFonts w:ascii="Times New Roman" w:eastAsia="Times New Roman" w:hAnsi="Times New Roman" w:cs="Times New Roman"/>
          <w:sz w:val="28"/>
          <w:szCs w:val="28"/>
        </w:rPr>
        <w:t xml:space="preserve"> Necessaria invece è la</w:t>
      </w:r>
      <w:r>
        <w:rPr>
          <w:rFonts w:ascii="Times New Roman" w:eastAsia="Times New Roman" w:hAnsi="Times New Roman" w:cs="Times New Roman"/>
          <w:b/>
          <w:sz w:val="28"/>
          <w:szCs w:val="28"/>
        </w:rPr>
        <w:t xml:space="preserve"> figura del Care Giver, </w:t>
      </w:r>
      <w:r>
        <w:rPr>
          <w:rFonts w:ascii="Times New Roman" w:eastAsia="Times New Roman" w:hAnsi="Times New Roman" w:cs="Times New Roman"/>
          <w:sz w:val="28"/>
          <w:szCs w:val="28"/>
        </w:rPr>
        <w:t xml:space="preserve">l’assistenza </w:t>
      </w:r>
      <w:r>
        <w:rPr>
          <w:rFonts w:ascii="Times New Roman" w:eastAsia="Times New Roman" w:hAnsi="Times New Roman" w:cs="Times New Roman"/>
          <w:sz w:val="28"/>
          <w:szCs w:val="28"/>
        </w:rPr>
        <w:lastRenderedPageBreak/>
        <w:t xml:space="preserve">alle persone non auto sufficienti, prevalentemente anziane è una delle emergenze sociali non adeguatamente affrontate nel nostro paese, siamo un paese longevo, ci ritroviamo di fronte dunque a risposte assistenziali inadeguate, sia per le risorse, per le modalità di organizzazione ed utilizzo delle stesse. Abbattere le disuguaglianze che ci sono tra regioni per quanto riguarda gli Hospice strutture deputate all’assistenza di malati terminali, non è ancora sviluppata e diffusa ovunque una metodologia proattiva con il coinvolgimento del paziente e la sua famiglia. </w:t>
      </w:r>
      <w:r>
        <w:rPr>
          <w:rFonts w:ascii="Times New Roman" w:eastAsia="Times New Roman" w:hAnsi="Times New Roman" w:cs="Times New Roman"/>
          <w:b/>
          <w:sz w:val="28"/>
          <w:szCs w:val="28"/>
          <w:highlight w:val="white"/>
        </w:rPr>
        <w:t>Potenziare i dipartimenti per le dipendenze</w:t>
      </w:r>
      <w:r>
        <w:rPr>
          <w:rFonts w:ascii="Times New Roman" w:eastAsia="Times New Roman" w:hAnsi="Times New Roman" w:cs="Times New Roman"/>
          <w:sz w:val="28"/>
          <w:szCs w:val="28"/>
          <w:highlight w:val="white"/>
        </w:rPr>
        <w:t xml:space="preserve"> (e dei Ser.D), al fine di fornire risposte adeguate ai nuovi bisogni, ai nuovi consumi e all’emergere di dipendenze non legate all’uso di sostanze</w:t>
      </w:r>
      <w:r>
        <w:rPr>
          <w:rFonts w:ascii="Times New Roman" w:eastAsia="Times New Roman" w:hAnsi="Times New Roman" w:cs="Times New Roman"/>
          <w:b/>
          <w:sz w:val="28"/>
          <w:szCs w:val="28"/>
          <w:highlight w:val="white"/>
        </w:rPr>
        <w:t>. Approvare  una legge  sulla non  autosufficienza,  con  misure  a  carico  della  fiscalità  generale,</w:t>
      </w:r>
      <w:r>
        <w:rPr>
          <w:rFonts w:ascii="Times New Roman" w:eastAsia="Times New Roman" w:hAnsi="Times New Roman" w:cs="Times New Roman"/>
          <w:sz w:val="28"/>
          <w:szCs w:val="28"/>
          <w:highlight w:val="white"/>
        </w:rPr>
        <w:t xml:space="preserve">  e promuovere politiche per l’invecchiamento attivo. È  necessario  dare  seguito  alle  disposizioni della  Legge  di Bilancio  234/2021  perla  definizione  dei  LEPS  sulla  Non  Autosufficienza  e  allo schema  di  Piano  Nazionale  sulla  Non  Autosufficienza  2022-2024,  varare  la  necessaria  Legge Quadro per realizzare un nuovo sistema di sostegno alla vita autonoma, un nuovo equilibrio a favore  delle  soluzioni  di  vita  e  di  assistenza  a  domicilio  (a casa  propria  o in  co-housing), una organizzazione  radicalmente  diversa  delle  strutture  residenziali  e  semiresidenziali,  eliminando la  pratica  della  contenzione  e  rivedendo il  sistema  di  accreditamento  e  riequilibrando  il rapporto  pubblico-privato,  così  come per l’area  della riabilitazione che  oggi  presenta  un enorme squilibrio tra offerta pubblica e privata in gran parte a carico delle persone interessate. </w:t>
      </w:r>
      <w:r>
        <w:rPr>
          <w:rFonts w:ascii="Times New Roman" w:eastAsia="Times New Roman" w:hAnsi="Times New Roman" w:cs="Times New Roman"/>
          <w:b/>
          <w:color w:val="333333"/>
          <w:sz w:val="28"/>
          <w:szCs w:val="28"/>
        </w:rPr>
        <w:t>Per la salute delle donne,</w:t>
      </w:r>
      <w:r>
        <w:rPr>
          <w:rFonts w:ascii="Times New Roman" w:eastAsia="Times New Roman" w:hAnsi="Times New Roman" w:cs="Times New Roman"/>
          <w:color w:val="333333"/>
          <w:sz w:val="28"/>
          <w:szCs w:val="28"/>
        </w:rPr>
        <w:t xml:space="preserve"> non solo riproduttiva, dall’adolescenza alla vecchiaia, è fondamentale la legge istitutiva dei consultori pubblici - legge 405/1975 –, integrata dalla legge 194/1978 sull’interruzione volontaria di gravidanza. I consultori pubblici dovrebbero essere 1 ogni 20.000 abitanti nelle aree urbane e 1 ogni 10.000 nelle aree rurali (in base alla legge 34/1996). Varie malattie dell’apparato genitale femminile non sono riconosciute dal S.S.N.</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 xml:space="preserve">Parliamo anche della Femminilizzazione della medicina e conseguenti possibili prospettive - da ottenere - in merito al miglioramento e alla ricomposizione dell’approccio curativo. Posizioni apicali ancora quasi completamente in mano maschile. </w:t>
      </w:r>
      <w:r>
        <w:rPr>
          <w:rFonts w:ascii="Times New Roman" w:eastAsia="Times New Roman" w:hAnsi="Times New Roman" w:cs="Times New Roman"/>
          <w:b/>
          <w:sz w:val="28"/>
          <w:szCs w:val="28"/>
          <w:highlight w:val="white"/>
        </w:rPr>
        <w:t>Occorre  una particolare attenzione  alla salute  e  sicurezza  nei luoghi  di  lavoro</w:t>
      </w:r>
      <w:r>
        <w:rPr>
          <w:rFonts w:ascii="Times New Roman" w:eastAsia="Times New Roman" w:hAnsi="Times New Roman" w:cs="Times New Roman"/>
          <w:color w:val="333333"/>
          <w:sz w:val="28"/>
          <w:szCs w:val="28"/>
        </w:rPr>
        <w:t>.</w:t>
      </w:r>
      <w:r>
        <w:rPr>
          <w:rFonts w:ascii="Times New Roman" w:eastAsia="Times New Roman" w:hAnsi="Times New Roman" w:cs="Times New Roman"/>
          <w:color w:val="333333"/>
          <w:sz w:val="28"/>
          <w:szCs w:val="28"/>
        </w:rPr>
        <w:br/>
        <w:t xml:space="preserve">La sanità pubblica in Italia si basa sul Servizio Sanitario Nazionale frutto di lotte sociali sostenute anche dal Partito Comunista italiano. </w:t>
      </w:r>
    </w:p>
    <w:p w14:paraId="2463532F"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LAVORO</w:t>
      </w:r>
      <w:r>
        <w:rPr>
          <w:rFonts w:ascii="Times New Roman" w:eastAsia="Times New Roman" w:hAnsi="Times New Roman" w:cs="Times New Roman"/>
          <w:sz w:val="24"/>
          <w:szCs w:val="24"/>
        </w:rPr>
        <w:t xml:space="preserve"> </w:t>
      </w:r>
    </w:p>
    <w:p w14:paraId="117B051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Da decenni è in atto, da parte dei padroni, un attacco non solo contro i lavoratori ma contro il lavoro stesso, che persegue la definitiva "presa del potere" delle imprese e conseguente umiliazione delle Istituzioni, dello Stato e del settore pubblico. È un disegno che porta alla dismissione di attività industriali importanti, anche strategiche, e l'impoverimento del tessuto produttivo del nostro paese. Un declino che sembra irreversibile e che viene accompagnato e incentivato dalle politiche di governi che si sono succeduti che hanno subito in maniera acritica i dettami delle associazioni </w:t>
      </w:r>
      <w:r>
        <w:rPr>
          <w:rFonts w:ascii="Times New Roman" w:eastAsia="Times New Roman" w:hAnsi="Times New Roman" w:cs="Times New Roman"/>
          <w:color w:val="000000"/>
          <w:sz w:val="28"/>
          <w:szCs w:val="28"/>
        </w:rPr>
        <w:lastRenderedPageBreak/>
        <w:t xml:space="preserve">imprenditoriali favorendo delocalizzazioni, perdita di diritti, aumento della precarietà, diminuzione delle retribuzioni, possibilità di licenziamento... A questa sudditanza bisogna, purtroppo, aggiungere il progressivo sfaldamento e la frammentazione delle organizzazioni sociali e politiche che avrebbero dovuto rappresentare chi vive del proprio lavora, facendosi carico della difesa e dell'ampliamento dei loro diritti. Abbiamo assistito a una debolezza oggettiva che ha contribuito a una situazione di crescente rassegnazione. Il lavoro, di fatto, non è stato più ritenuto quel fattore fondamentale di inclusione sociale, emancipazione individuale e partecipazione alla vita collettiva, sottolineato dalla nostra Costituzione. Ultimamente, però, stiamo assistendo a una (ri)presa di coscienza da parte di lavoratrici e lavoratori che sono scesi in lotta per difendere l'occupazione ma che, oltre alla resistenza, stanno tentando di passare all'attacco e di (ri)costruire un movimento ampio unendo i conflitti che si organizzano in numerose realtà. Il Pci è e deve essere parte di questa lotta, diventata, dopo anni di torpore, una novità estremamente positiva. Il Pci è autonomo da qualsiasi organizzazione sindacale. Non ha, quindi, un sindacato di riferimento, ma ciascun iscritto ha il compito di portare le indicazioni del partito nell’organizzazione sindacale in cui opera. Compito del Partito non è sostituirsi ai sindacati, ma fare politica e operare per la ricostruzione della coscienza di classe tra chi vive del proprio lavoro. Si deve e si può cambiare la politica per il lavoro, e il Pci avanza le seguenti proposte: </w:t>
      </w:r>
    </w:p>
    <w:p w14:paraId="377F4D7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(1) </w:t>
      </w:r>
      <w:r>
        <w:rPr>
          <w:rFonts w:ascii="Times New Roman" w:eastAsia="Times New Roman" w:hAnsi="Times New Roman" w:cs="Times New Roman"/>
          <w:b/>
          <w:color w:val="000000"/>
          <w:sz w:val="28"/>
          <w:szCs w:val="28"/>
        </w:rPr>
        <w:t>riduzione del tempo di lavoro, al duplice scopo di migliorare la qualità della vita con la contestuale assunzione di nuovi lavoratori. La riduzione dell’orario di lavoro deve avvenire a parità di retribuzione;</w:t>
      </w:r>
    </w:p>
    <w:p w14:paraId="29CB058D"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(2) riscrittura del diritto del lavoro, attraverso una legge di sistematico rovesciamento della disciplina e dei contenuti normativi attuali, a cominciare dal fondamentale ripristino dell’articolo 18 e dalla sua estensione a tutti i lavoratori;</w:t>
      </w:r>
    </w:p>
    <w:p w14:paraId="6CA0C4B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(3) abolizione del lavoro precario e di ogni forma di caporalato, rivedendo e riducendo al massimo le tipologie dei rapporti cosiddetti atipici e soprattutto rendendo nuovamente causali i contratti a tempo determinato, oltre a fornire garanzie giuridiche e continuità retributiva, a carico della finanza pubblica, dei lavori intermittenti e stagionali;</w:t>
      </w:r>
    </w:p>
    <w:p w14:paraId="6EA7A02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(4) salvaguardia dell'occupazione impedendo il ricorso indiscriminato ai licenziamenti;</w:t>
      </w:r>
    </w:p>
    <w:p w14:paraId="2FB80C2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(5) contrasto alle delocalizzazioni con apposita legislazione che preveda il recupero maggiorato dei finanziamenti pubblici erogati e impedendo qualsiasi speculazione con il vincolo delle aree dismesse a uso produttivo o sociale;</w:t>
      </w:r>
    </w:p>
    <w:p w14:paraId="42B7041E"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 xml:space="preserve">(6) salute e sicurezza sul lavoro, intesa non solo in relazione agli infortuni ma anche alle malattie professionali introducendo in primo luogo anche per legge la possibilità di contrattazione sull’organizzazione del lavoro da parte di lavoratori </w:t>
      </w:r>
      <w:r>
        <w:rPr>
          <w:rFonts w:ascii="Times New Roman" w:eastAsia="Times New Roman" w:hAnsi="Times New Roman" w:cs="Times New Roman"/>
          <w:b/>
          <w:color w:val="000000"/>
          <w:sz w:val="28"/>
          <w:szCs w:val="28"/>
        </w:rPr>
        <w:lastRenderedPageBreak/>
        <w:t>e lavoratrici in collaborazione con gli organi preposti alla vigilanza ed al controllo, che devono poter contare su adeguate e diffuse risorse umane e materiali per tutti i settori produttivi, istituendo il reato di omicidio sul lavoro, reintroducendo la piena responsabilità del datore di lavoro, aumentando i tempi necessari per la prescrizione dei reati sul lavoro; (7) revisione della disciplina degli appalti, eliminando gli appalti dei servizi consistenti in fornitura di sola manodopera, ancorché diretta dall’appaltatore, e forte limitazione, qualitativa e quantitativa, della possibilità di ricorso ai subappalti;</w:t>
      </w:r>
    </w:p>
    <w:p w14:paraId="0225C57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(8) messa a punto di nuovi strumenti di lotta al lavoro nero con l’introduzione di sanzioni progressive per la mancata regolarizzazione anche su disposizione degli organi ispettivi;</w:t>
      </w:r>
    </w:p>
    <w:p w14:paraId="7E156CE0"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(9) revisione e ricostruzione di un sistema di ammortizzatori sociali che favorisca il mantenimento dell’occupazione, anche nelle fasi di possibile subentro di nuove iniziative di nuovi imprenditori ed in occasione di procedure concorsuali;</w:t>
      </w:r>
    </w:p>
    <w:p w14:paraId="16FEB6E1"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(10) valorizzazione in tema di retribuzione della garanzia dell’articolo 36 della Costituzione, sotto il profilo della salvaguardia del potere d’acquisto reale e della adeguatezza alla qualità, oltre che alla quantità della prestazione; anche a tale riguardo si pone con forza la questione dell’aumento dei salari e degli stipendi;</w:t>
      </w:r>
    </w:p>
    <w:p w14:paraId="44BA96B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(11) introduzione di un reddito minimo garantito orario di perlomeno 10 euro netti; (12) introduzione di un reddito sociale garantito per chi è senza lavoro e/o in fasce d’età ormai espulse dal mercato del lavoro, da ordinare con la legislazione di allargamento dell’occupazione, attraverso la riduzione d’orario; in ogni caso estensione dell’assegno sociale nella fascia d’età 56/65 anni per i soggetti in possesso dei requisiti previsti dalla legislazione sull’assegno sociale;</w:t>
      </w:r>
    </w:p>
    <w:p w14:paraId="45343D60"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(13) sul piano collettivo e della democrazia sindacale, introduzione di una legge sulla rappresentanza sindacale che metta al centro il consenso dei lavoratori destinatari di ogni negoziazione e contenga comunque forti garanzie antidiscriminatorie;</w:t>
      </w:r>
    </w:p>
    <w:p w14:paraId="00235862"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 xml:space="preserve">(14) salvaguardia del contratto collettivo nazionale di lavoro come fonte principale di disciplina dei rapporti di lavoro, con previsione di applicazione dello stesso ai soci lavoratori di impresa cooperativa, e regolazione adeguatamente incentivata di una contrattazione integrativa non contraddittoria rispetto alla contrattazione nazionale; (15) necessità di un piano di sviluppo della ricerca e dell'innovazione tecnologica che devono diventare strumenti per consentire di lavorare meno, meglio, in sicurezza; (16) lo Stato e il pubblico devono assumere il ruolo di protagonisti dell'economia e dello sviluppo del nostro paese anche con la costituzione di un nuovo IRI. La parola d'ordine “Più Stato e meno mercato” è più che mai attuale e necessaria. </w:t>
      </w:r>
      <w:r>
        <w:rPr>
          <w:rFonts w:ascii="Times New Roman" w:eastAsia="Times New Roman" w:hAnsi="Times New Roman" w:cs="Times New Roman"/>
          <w:color w:val="000000"/>
          <w:sz w:val="28"/>
          <w:szCs w:val="28"/>
        </w:rPr>
        <w:t xml:space="preserve">In ultimo, ma non certo </w:t>
      </w:r>
      <w:r>
        <w:rPr>
          <w:rFonts w:ascii="Times New Roman" w:eastAsia="Times New Roman" w:hAnsi="Times New Roman" w:cs="Times New Roman"/>
          <w:color w:val="000000"/>
          <w:sz w:val="28"/>
          <w:szCs w:val="28"/>
        </w:rPr>
        <w:lastRenderedPageBreak/>
        <w:t xml:space="preserve">per importanza, tra i temi che incidono direttamente sulla disuguaglianza e l’assenza di giustizia sociale, va sottolineato il persistere di una scandalosa questione fiscale. Nel nostro Paese il contrasto all’evasione e all’elusione fiscale e contributiva costituisce un vero e proprio capitolo della lotta di classe. Un quinto del Prodotto Interno Lordo (Pil) sfugge al controllo dello Stato. Questo, oltre a sollevare una scandalosa e inaccettabile questione etica, comporta il fatto che venga sottratta alla collettività una massa enorme di risorse le quali, viceversa, potrebbero essere destinate al miglioramento dei servizi sociali e a potenziali investimenti pubblici, per creare nuova occupazione ed aumentare la sicurezza sui posti di lavoro. Il Pci propone il rafforzamento delle risorse da destinare alla lotta all’evasione, aumentando in misura consistente il contingente di chi, in questo campo, controlla e persegue i reati. Oltre a ciò, si batte per un decisivo aumento della progressività fiscale, rimodulando gli scaglioni di reddito per far pagare di più a chi a chi ha di più, e di meno a chi ha di meno. E’ in questo contesto che proponiamo una tassa patrimoniale sulle grandi ricchezze. </w:t>
      </w:r>
      <w:r>
        <w:rPr>
          <w:rFonts w:ascii="Times New Roman" w:eastAsia="Times New Roman" w:hAnsi="Times New Roman" w:cs="Times New Roman"/>
          <w:color w:val="333333"/>
          <w:sz w:val="28"/>
          <w:szCs w:val="28"/>
        </w:rPr>
        <w:t>In un Mondo in cui tutto sembrava inevitabilmente globalizzato e standardizzato dal primeggiare dell’economia e della finanza su qualsiasi altro valore, ancora una volta, il lavoro si riappropria del suo significato e del suo ruolo primario in questo programma. Il lavoro come chiave essenziale di tutta la questione sociale, che condiziona lo sviluppo non solo economico, ma anche culturale e morale delle persone, della famiglia, della società e dell’intero genere umano, abbandonando quella sensazione di sentirsi insoddisfatti, nella ricerca continua di vedere appagato il desiderio di possesso, immersi in una connessione sociale interrotta e priva di condivisione di sentimenti.</w:t>
      </w:r>
      <w:r>
        <w:rPr>
          <w:rFonts w:ascii="Times New Roman" w:eastAsia="Times New Roman" w:hAnsi="Times New Roman" w:cs="Times New Roman"/>
          <w:color w:val="000000"/>
          <w:sz w:val="28"/>
          <w:szCs w:val="28"/>
        </w:rPr>
        <w:br/>
        <w:t>La pandemia</w:t>
      </w:r>
      <w:r>
        <w:rPr>
          <w:rFonts w:ascii="Times New Roman" w:eastAsia="Times New Roman" w:hAnsi="Times New Roman" w:cs="Times New Roman"/>
          <w:color w:val="333333"/>
          <w:sz w:val="28"/>
          <w:szCs w:val="28"/>
        </w:rPr>
        <w:t xml:space="preserve"> è calata su di noi in modo inesorabile e inatteso, obbligandoci a rivedere tutti i nostri parametri ed abitudini, come persone e lavoratori sviluppando una maggior consapevolezza dell’importanza dei dispositivi di protezione individuale per la salute e la sicurezza dei lavoratori; incentivando, forme di lavoro agile, indispensabile oggi, ma nel quale viene a mancare quella componente relazionale che è centrale nel lavoro. Emblematica la giornata del primo aprile 2020 , data di apertura della procedura on-line per inoltrare la richiesta, dove un guazzabuglio telematico ha dimostrato la vulnerabilità di questo sistema di welfare statale e l’affannosa corsa di questa categoria di lavoratori all’accaparramento di una piccola somma elargita dallo Stato per il mese </w:t>
      </w:r>
      <w:r>
        <w:rPr>
          <w:rFonts w:ascii="Times New Roman" w:eastAsia="Times New Roman" w:hAnsi="Times New Roman" w:cs="Times New Roman"/>
          <w:color w:val="005A95"/>
          <w:sz w:val="28"/>
          <w:szCs w:val="28"/>
        </w:rPr>
        <w:t>di marzo</w:t>
      </w:r>
      <w:r>
        <w:rPr>
          <w:rFonts w:ascii="Times New Roman" w:eastAsia="Times New Roman" w:hAnsi="Times New Roman" w:cs="Times New Roman"/>
          <w:color w:val="333333"/>
          <w:sz w:val="28"/>
          <w:szCs w:val="28"/>
        </w:rPr>
        <w:t>, parliamo di 600 euro una tantum.</w:t>
      </w:r>
      <w:r>
        <w:rPr>
          <w:rFonts w:ascii="Times New Roman" w:eastAsia="Times New Roman" w:hAnsi="Times New Roman" w:cs="Times New Roman"/>
          <w:color w:val="000000"/>
          <w:sz w:val="28"/>
          <w:szCs w:val="28"/>
        </w:rPr>
        <w:br/>
        <w:t>Oggi dopo q</w:t>
      </w:r>
      <w:r>
        <w:rPr>
          <w:rFonts w:ascii="Times New Roman" w:eastAsia="Times New Roman" w:hAnsi="Times New Roman" w:cs="Times New Roman"/>
          <w:color w:val="333333"/>
          <w:sz w:val="28"/>
          <w:szCs w:val="28"/>
        </w:rPr>
        <w:t>uesta crisi, così dolorosa e tragica, dobbiamo solo che trarre insegnamento, questo deve diventare un’opportunità non solo per rafforzare il sistema sanitario pubblico, ma altresì quello del lavoro e del welfare, con intelligenza e lungimiranza, mettere in atto attraverso un segno tangibile di impegno verso il miglioramento.</w:t>
      </w:r>
    </w:p>
    <w:p w14:paraId="6702462C"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333333"/>
          <w:sz w:val="28"/>
          <w:szCs w:val="28"/>
        </w:rPr>
        <w:t>DISOCCUPAZIONE</w:t>
      </w:r>
    </w:p>
    <w:p w14:paraId="5D4AE405"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333333"/>
          <w:sz w:val="28"/>
          <w:szCs w:val="28"/>
        </w:rPr>
        <w:t xml:space="preserve">La crisi economico-finanziaria degli ultimi anni, che ha colpito anche l’Italia, ha determinato un aumento del tasso di disoccupazione. Nel primo trimestre dell’anno scorso sono state stimate in Italia quasi 1,5 milioni di persone inattive, le quali non </w:t>
      </w:r>
      <w:r>
        <w:rPr>
          <w:rFonts w:ascii="Times New Roman" w:eastAsia="Times New Roman" w:hAnsi="Times New Roman" w:cs="Times New Roman"/>
          <w:color w:val="333333"/>
          <w:sz w:val="28"/>
          <w:szCs w:val="28"/>
        </w:rPr>
        <w:lastRenderedPageBreak/>
        <w:t>riuscendo a trovare lavoro hanno smesso di cercarlo. La disoccupazione, al pari del lavoro, è in grado di colpire non solo la dimensione professionale ma anche quella psicologica ed esistenziale dell’individuo. Senza lavoro infatti la persona perde non solo la possibilità di fare progetti per il futuro, grazie alla sicurezza di un reddito, ma anche e soprattutto, perde il proprio ruolo sociale e la propria identità.</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Pertanto tale relazione è fondamentale per la stabilità dell’individuo a tal punto che la disoccupazione è in grado di causare importanti sofferenze psicologiche. La disoccupazione infatti può essere intesa come una vera esperienza di deprivazione e come tale può comportare serie conseguenze nell’individuo: dall’aumento del senso di inferiorità ed impotenza, alla perdita dell’autostima. Gli inoccupati a poco a poco perdono la fiducia in primis in sé stessi e successivamente anche negli altri, nella società e nel futuro.</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Quali sono le conseguenze della disoccupazione?</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Negli ultimi anni oggetto di riflessione e di analisi sono gli effetti della disoccupazione sugli individui non solo in termini economici ma anche dal punto di vista professionale, personale e sociale. E’ ampiamente dimostrato che lo stato di inoccupazione comporti delle conseguenze profonde sulla vita delle persone in termini esistenziali. Sono state analizzate nel dettaglio le conseguenze di questa condizione in termini di vissuto professionale, personale e sociale. A livello professionale l’individuo non più lavoratore va incontro ad una riduzione progressiva delle conoscenze e competenze, pregiudicando di conseguenza la possibilità di trovare altri lavori. In termini personali viene intaccata l’autostima con conseguente disagio psicologico e perdita della motivazione. Dal punto di vista sociale, invece, la persona si ritrova esclusa dal contesto lavorativo con conseguente riduzione dei rapporti interpersonali che minano l’identità e il ruolo sociale dell’individuo.</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 xml:space="preserve">Da questi dati è possibile affermare come la perdita del lavoro incida notevolmente sul benessere generale degli individui modificandolo, con ripercussioni sulla salute sia fisica e psicologica, confermando quanto già evidenziato da molti studi. </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A titolo esemplificativo uno studio individua tre meccanismi con i quali la disoccupazione incide sulla salute. Un primo è collegato alla povertà in quanto i problemi finanziari a cui la persona inoccupata va incontro avranno effetti non solo sulla salute fisica ma anche psichica con un aumento del rischio di depressione.</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333333"/>
          <w:sz w:val="28"/>
          <w:szCs w:val="28"/>
        </w:rPr>
        <w:t>Un secondo aspetto riguarda proprio la perdita del lavoro che viene vissuto dall’individuo come un evento di vita stressante quasi come se fosse un lutto. Infatti a seguito della perdita del lavoro vengono a mancare benefici connessi al lavoro (autostima, status sociale, contatti interpersonali); questo stato di stress causerebbe pertanto un incremento dei livelli di ansia. Infine il terzo a seguito di uno stato di inoccupazione, le persone sono più esposte all’insorgenza di comportamenti dannosi per la salute come il fumo, l’abuso di alcol o di sostanze stupefacenti e al contempo sono più esposte a condotte particolarmente rischiose ed autodistruttive.</w:t>
      </w:r>
      <w:r>
        <w:rPr>
          <w:rFonts w:ascii="Times New Roman" w:eastAsia="Times New Roman" w:hAnsi="Times New Roman" w:cs="Times New Roman"/>
          <w:color w:val="000000"/>
          <w:sz w:val="28"/>
          <w:szCs w:val="28"/>
        </w:rPr>
        <w:br/>
      </w:r>
      <w:r>
        <w:rPr>
          <w:rFonts w:ascii="Times New Roman" w:eastAsia="Times New Roman" w:hAnsi="Times New Roman" w:cs="Times New Roman"/>
          <w:color w:val="333333"/>
          <w:sz w:val="28"/>
          <w:szCs w:val="28"/>
        </w:rPr>
        <w:t xml:space="preserve">A volte la società sembra dimenticarsi che l’uomo ha delle emozioni collegate a ciò che succede nella sua vita. Bisogna orientarci verso percorsi di orientamento all’inserimento lavorativo più incisivi ed efficaci, in quanto ci si dimentica di come quelle persone in cerca di lavoro possano essere in uno stato di apatia, pessimismo e </w:t>
      </w:r>
      <w:r>
        <w:rPr>
          <w:rFonts w:ascii="Times New Roman" w:eastAsia="Times New Roman" w:hAnsi="Times New Roman" w:cs="Times New Roman"/>
          <w:color w:val="333333"/>
          <w:sz w:val="28"/>
          <w:szCs w:val="28"/>
        </w:rPr>
        <w:lastRenderedPageBreak/>
        <w:t>di malessere mentale. Ammettere dunque che la componente psicologica abbia un ruolo importante nella ricerca del lavoro. E’ necessario dunque fornire innanzitutto uno spazio psicologico e relazionale di ascolto in cui le persone possano scoprire di non essere sole a sperimentare un certo malessere, aiutandole quindi a superare gli stereotipi legati all’essere disoccupati. È inoltre fondamentale attivare la proattività; ossia favorire il recupero delle risorse personali e un livello di motivazione sufficiente per far ripartire la persona nella ricerca o nella creazione di un nuovo spazio lavorativo. Pertanto è fondamentale che il lavoro venga considerato non semplicemente come strumento di sopravvivenza ma bensì come una modalità in grado di assolvere a tutta una serie di funzioni di stampo psicologico come l’autoaffermazione, il riconoscimento e la gratificazione personale, poiché quando il lavoro manca si impoverisce l’identità della persona.</w:t>
      </w:r>
      <w:r>
        <w:rPr>
          <w:rFonts w:ascii="Times New Roman" w:eastAsia="Times New Roman" w:hAnsi="Times New Roman" w:cs="Times New Roman"/>
          <w:color w:val="000000"/>
          <w:sz w:val="28"/>
          <w:szCs w:val="28"/>
        </w:rPr>
        <w:t xml:space="preserve"> Dunque emergenza sanitaria, chiusura di aziende con riduzione posti di lavoro, perdita di lavoro, allungamento dell’età pensionabile, disoccupazione giovanile questo quadrinomio è sinonimo di crisi. L’occupazione viene calcolata anche sulla base delle decine di contratti a tempo determinato, quindi un dato che può solo rilevare la precarizzazione e non il tasso occupazionale. I giovani meritano ma non solo loro di stabilità lavorativa per potersi garantire un vero orizzonte sociale.</w:t>
      </w:r>
    </w:p>
    <w:p w14:paraId="1D1A7A7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AMBIENTE</w:t>
      </w:r>
    </w:p>
    <w:p w14:paraId="1BD9219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Sono passati quasi 12 lunghi anni, dalla vittoria dei SI ai Referendum su acqua, servizi pubblici e nucleare del 12 e 13 giugno 2011, e da allora non è cambiato nulla, nessuno dei governi, alternatisi alla guida dell’Italia, ha trasformato la decisione del popolo italiano in legge, ma hanno continuato a disconoscere l’esito referendario, provocando di fatto un “vulnus” democratico per il mancato rispetto della volontà popolare. Nel frattempo la pandemia, ci ha posto davanti alla possibilità di superare un modello di sviluppo che è responsabile dei cambiamenti climatici, dello sfruttamento delle risorse ambientali, dell’inquinamento e del consumo di suolo. Il Piano di Rilancio e il PNRR che avrebbero dovuto essere strumenti e occasione per proporre scelte innovative, per un deciso cambiamento delle politiche ambientali e territoriali, si sono rivelati in perfetta continuità con le politiche dei governi precedenti. Si è scelto di continuare ad ignorare le cause di una crisi che è allo stesso tempo sanitaria, climatica, ambientale e sociale, riproponendo scelte che stanno alla base della logica del profitto, mentre c’è la necessità di una vera transizione ecologica e di una rigenerazione ambientale e territoriale che salvaguardi gli ecosistemi; lotti contro l’inquinamento ed i cambiamenti climatici; riduca e azzeri il consumo di suolo e la deforestazione; conservi la biodiversità agricola rigenerando la fertilità dei suoli. Dopo 10 anni, la difesa del bene comune, dell’ambiente e della salute pubblica, rimangono una priorità per una politica sociale ed economica nuova, dove l’economia si pone al servizio dell’ambiente e del territorio e non viceversa, diventa quindi fondamentale e necessario, per il PCI, attuare “l’esito referendario” per il diritto all’acqua pubblica e per il superamento e la chiusura della stagione del nucleare. Anche alla luce della quotazione in borsa dell’acqua non è più rinviabile </w:t>
      </w:r>
      <w:r>
        <w:rPr>
          <w:rFonts w:ascii="Times New Roman" w:eastAsia="Times New Roman" w:hAnsi="Times New Roman" w:cs="Times New Roman"/>
          <w:color w:val="000000"/>
          <w:sz w:val="28"/>
          <w:szCs w:val="28"/>
        </w:rPr>
        <w:lastRenderedPageBreak/>
        <w:t xml:space="preserve">l’inserimento in Costituzione del “Diritto all’Acqua pubblica” che deve essere usata in primo luogo e in modo sostenibile per fornire ai cittadini acqua potabile, e in quanto tale, non è un bene di mercato e quindi non può avere un costo; ciò implica che nell’immediato bisogna investire sulla </w:t>
      </w:r>
      <w:r>
        <w:rPr>
          <w:rFonts w:ascii="Times New Roman" w:eastAsia="Times New Roman" w:hAnsi="Times New Roman" w:cs="Times New Roman"/>
          <w:b/>
          <w:color w:val="000000"/>
          <w:sz w:val="28"/>
          <w:szCs w:val="28"/>
        </w:rPr>
        <w:t xml:space="preserve">ripubblicizzazione dell’acqua e sull’ammodernamento della rete di distribuzione, ed i gestori del ciclo integrato devono: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assicurare una quantità minima ragionevole gratuita a ciascun cittadino;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praticare tariffe significativamente proporzionali ai consumi eccedenti in modo da scoraggiare gli sprechi;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pensare a tariffe uniche in tutta Italia, superando il criterio che il ricavato deve corrispondere ai costi aziendali;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prevedere, dove è più difficile e costoso procurarsi l’acqua, che i cittadini non vengano penalizzati pagandola di più.</w:t>
      </w:r>
      <w:r>
        <w:rPr>
          <w:rFonts w:ascii="Times New Roman" w:eastAsia="Times New Roman" w:hAnsi="Times New Roman" w:cs="Times New Roman"/>
          <w:color w:val="000000"/>
          <w:sz w:val="28"/>
          <w:szCs w:val="28"/>
        </w:rPr>
        <w:t xml:space="preserve"> Allo stesso tempo va scongiurato il ritorno al nucleare, come annunciato in varie occasioni dai vari governi che si sono succeduti e chiudere definitivamente la stagione del nucleare, consapevoli che, per i rifiuti radioattivi, bisogna trovare una destinazione consona alla loro pericolosità, non vorremmo si ripetesse quello che è accaduto nel 2003, quando Governo Berlusconi e Commissario SOGIN, operarono la scelta, senza le opportune indagini puntuali, di Scanzano Jonico come sito di deposito dei rifiuti radioattivi. </w:t>
      </w:r>
      <w:r>
        <w:rPr>
          <w:rFonts w:ascii="Times New Roman" w:eastAsia="Times New Roman" w:hAnsi="Times New Roman" w:cs="Times New Roman"/>
          <w:b/>
          <w:color w:val="000000"/>
          <w:sz w:val="28"/>
          <w:szCs w:val="28"/>
        </w:rPr>
        <w:t xml:space="preserve">Auspichiamo pertanto che sulla scelta di un Deposito Nazionale dei Rifiuti radioattivi si avvii un processo che non può prescindere da un percorso procedimentale, trasparente e partecipato, che coinvolga i territori, gli enti locali e i cittadini, anche a fronte di forti perplessità circa: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la scelta di delegare a SOGIN la procedura della consultazione pubblica di una questione di interesse nazionale;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la gestione combinata dei rifiuti radioattivi, unico caso al mondo come riporta GREENPEACE, e la sua temporaneità in quanto si “nuclearizza” per centinaia di anni un altro territorio mentre non si riesce a denuclearizzare gli attuali siti radioattivi;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sulla questione grafite della centrale di Latina e Viterbo considerato che sono in corso studi e ricerche per la gestione e il trattamento;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su cosa succede nell’eventualità il deposito venga ad esaurirsi, si amplia o se ne costruisce un altro?; </w:t>
      </w:r>
      <w:r>
        <w:rPr>
          <w:rFonts w:ascii="Symbol" w:eastAsia="Symbol" w:hAnsi="Symbol" w:cs="Symbol"/>
          <w:b/>
          <w:color w:val="000000"/>
          <w:sz w:val="28"/>
          <w:szCs w:val="28"/>
        </w:rPr>
        <w:t>∙</w:t>
      </w:r>
      <w:r>
        <w:rPr>
          <w:rFonts w:ascii="Times New Roman" w:eastAsia="Times New Roman" w:hAnsi="Times New Roman" w:cs="Times New Roman"/>
          <w:b/>
          <w:color w:val="000000"/>
          <w:sz w:val="28"/>
          <w:szCs w:val="28"/>
        </w:rPr>
        <w:t xml:space="preserve"> sulla problematica trasporto e il pericolo del rischio di incidenti durante il trasferimento dei rifiuti radioattivi al deposito nazionale. </w:t>
      </w:r>
      <w:r>
        <w:rPr>
          <w:rFonts w:ascii="Times New Roman" w:eastAsia="Times New Roman" w:hAnsi="Times New Roman" w:cs="Times New Roman"/>
          <w:color w:val="000000"/>
          <w:sz w:val="28"/>
          <w:szCs w:val="28"/>
        </w:rPr>
        <w:t xml:space="preserve">Se dieci anni vi sembrano pochi per decidere sulla volontà popolare espressa nei referendum, crediamo sia arrivato il momento di darvi voce, ed è anche per le considerazioni esposte, che fanno parte del programma del PCI “+ Stato – Mercato” che aderiamo all’Appello del Forum Italiano dei Movimenti per l’Acqua e alle iniziative per rimarcare e sostenere l’attuazione dell’esito referendario del 12 e 13 giugno 2011. </w:t>
      </w:r>
    </w:p>
    <w:p w14:paraId="73EA6915" w14:textId="77777777" w:rsidR="00446E26" w:rsidRDefault="00446E26">
      <w:pPr>
        <w:spacing w:before="280" w:after="0" w:line="240" w:lineRule="auto"/>
        <w:rPr>
          <w:rFonts w:ascii="Times New Roman" w:eastAsia="Times New Roman" w:hAnsi="Times New Roman" w:cs="Times New Roman"/>
          <w:sz w:val="24"/>
          <w:szCs w:val="24"/>
        </w:rPr>
      </w:pPr>
    </w:p>
    <w:p w14:paraId="02CE328F" w14:textId="77777777" w:rsidR="00446E26" w:rsidRDefault="00446E26">
      <w:pPr>
        <w:spacing w:before="280" w:after="0" w:line="240" w:lineRule="auto"/>
        <w:rPr>
          <w:rFonts w:ascii="Times New Roman" w:eastAsia="Times New Roman" w:hAnsi="Times New Roman" w:cs="Times New Roman"/>
          <w:sz w:val="24"/>
          <w:szCs w:val="24"/>
        </w:rPr>
      </w:pPr>
    </w:p>
    <w:p w14:paraId="3B76490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TUTELA AMBIENTALE E DEL TERRITORIO, AGRICOLTURA ASSI DI UN NUOVO SVILUPPO.</w:t>
      </w:r>
    </w:p>
    <w:p w14:paraId="43DC6A6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lastRenderedPageBreak/>
        <w:t xml:space="preserve">La crisi pandemica da Covid-19 che ha colpito l’intero pianeta è una delle conseguenze dei cambiamenti climatici, considerati possibile causa di malattie pandemiche da zoonosi, cioè di origine zootecnica che si sono succedute in questi decenni e che sono da mettere in correlazione con: il consumo di suolo; la distruzione del territorio e delle risorse naturali; le varie forme di inquinamento. Tali patologie hanno colpito la specie umana indotte dal “salto di specie”, dagli animali all’uomo, che è stato determinato dalla pressione antropica e dalla distruzione degli habitat naturali delle specie selvatiche, nonché dall’impatto delle attività dell’uomo sugli ecosistemi, sulle pratiche agricole, sui sistemi di allevamento, sulla distruzione della biodiversità. I cambiamenti climatici, che hanno prodotto un aumento del 30% degli incendi nel mondo e contribuiscono al consistente e inquietante fenomeno dello scioglimento dei ghiacci, sono la conseguenza del riscaldamento globale e delle modificazioni che le attività umane provocano sugli equilibri della biosfera, con le emissioni di gas a effetto serra, e quindi sulle condizioni di territorio e ambiente. In questo contesto mondiale, la situazione climatica e ambientale italiana, condizionata dal modo di produrre capitalistico, in un territorio fragile (l’88% dei Comuni è interessato da dissesto idrogeologico) su cui si è intervenuti nella quasi totale mancanza di controllo, risulta disastrosa. Frane, alluvioni, terremoti, slavine/valanghe -fenomeni di per sé naturali- si inseriscono nel quadro di un territorio fortemente antropizzato cresciuto al di fuori di ogni pianificazione territoriale e urbanistica, segnato da molti decenni di malgoverno nell’uso dei suoli (cementificazione del suolo e delle aree fluviali, grandi opere infrastrutturali dannose e molto dispendiose oltre che inutili, trivellazioni in terra e in mare, abusi e condoni edilizi, mancata messa in sicurezza degli edifici in zone sismiche, incendi dolosi dei boschi; gestione di smaltimento dei rifiuti da parte di imprese legate alla mafia) e da politiche energetiche e finalizzate alla mobilità, incoerenti e subordinate in via principale ai grandi interessi affaristici e speculativi. Un Paese che in dieci anni non è riuscito ad attuare “l’esito referendario” per il diritto all’acqua pubblica e per il superamento e la chiusura della stagione del nucleare, che non ha saputo e voluto proporre scelte innovative per un deciso cambiamento delle politiche ambientali e territoriali anche attraverso strumenti come il Piano del Rilancio e il Piano Nazionale di Ripresa e Resilienza, scegliendo -così- di continuare ad ignorare le cause di una crisi che in pari tempo è sanitaria, climatica, ambientale e sociale. Il tutto, riproponendo scelte poste a base di una logica del profitto, mentre vi è la necessità di una transizione e conversione ecologica e di una rigenerazione ambientale e territoriale che salvaguardi gli ecosistemi; lotti contro l’inquinamento ed i cambiamenti climatici, riduca e azzeri il consumo di suolo e la deforestazione, conservi la biodiversità agricola rigenerando la fertilità della terra. Una transizione e conversione ecologica ed una rigenerazione ambientale che osservino modelli dove: </w:t>
      </w:r>
      <w:r>
        <w:rPr>
          <w:rFonts w:ascii="Times New Roman" w:eastAsia="Times New Roman" w:hAnsi="Times New Roman" w:cs="Times New Roman"/>
          <w:b/>
          <w:color w:val="000000"/>
          <w:sz w:val="28"/>
          <w:szCs w:val="28"/>
        </w:rPr>
        <w:t xml:space="preserve">(01) la natura non sia più sottomessa alla tecnologia e sfruttata per l’accumulazione capitalistica; (02) il territorio, contenitore di tutte le attività umane e supporto delle condizioni di vita degli esseri viventi a partire dalla produzione di cibo, divenga bene collettivo in quanto è sempre più scarso e non riproducibile. (03) si operi per una tutela reale ed accorta dei suoli (al di là del loro regime privato o pubblico); (04) si dia </w:t>
      </w:r>
      <w:r>
        <w:rPr>
          <w:rFonts w:ascii="Times New Roman" w:eastAsia="Times New Roman" w:hAnsi="Times New Roman" w:cs="Times New Roman"/>
          <w:b/>
          <w:color w:val="000000"/>
          <w:sz w:val="28"/>
          <w:szCs w:val="28"/>
        </w:rPr>
        <w:lastRenderedPageBreak/>
        <w:t>sostanza alla riflessione sulla produzione che deve essere conseguente a decisioni collettive circa il che cosa, per chi, quanto e come si produce; (05) si affrontino le contraddizioni capitale-lavoro e capitale-natura (facce dello stesso sfruttamento capitalistico) insieme al movimento sindacale e ai movimenti ambientalisti nazionali e locali, mediante lotte che siano contemporaneamente per il lavoro, per l'ambiente e per la salute (come avvenuto per tante industrie della regione Lazio).</w:t>
      </w:r>
      <w:r>
        <w:rPr>
          <w:rFonts w:ascii="Times New Roman" w:eastAsia="Times New Roman" w:hAnsi="Times New Roman" w:cs="Times New Roman"/>
          <w:color w:val="000000"/>
          <w:sz w:val="28"/>
          <w:szCs w:val="28"/>
        </w:rPr>
        <w:t xml:space="preserve"> In questa prospettiva si pone anche la necessità di un’aggiornata riflessione circa le politiche agricole. Le attuali forme di agricoltura sono la causa principale della perdita di suolo e contribuiscono in modo significativo alle emissioni di gas serra. In particolare, l’agricoltura intensiva è responsabile della estinzione delle specie e del 15% delle emissioni climatiche europee, con una diffusa contaminazione da pesticidi dei terreni agricoli e con la perdita del suolo fertile più velocemente di quanto esso riesca a rigenerarsi. Nonostante questa situazione la PAC (Politica Agricola Comune), continua a finanziare politiche di agricoltura intensiva mettendo ulteriormente in pericolo il territorio e le risorse naturali. Serve, invece, operare con decisione per dar vita ad una agricoltura ecologica oggettivamente sostenibile in grado di garantire la sicurezza alimentare, restituendole il ruolo di cerniera tra città e campagna. Un’agricoltura che ristabilisca una vocazione produttiva “multifunzionale” incrementando il profilo biologico quale punto di riferimento per la gestione del territorio e delle sue risorse, spingendo verso il sostegno e la ridefinizione del ruolo stesso dell'agricoltore, inteso come operatore/gestore del territorio capace di garantire salvaguardia delle risorse agricole e salute dei consumatori. E’ necessario inoltre, attivare una coraggiosa politica di assegnazione di terre incolte ed abbandonate ai giovani contadini, alle cooperative agricole e ai piccoli imprenditori, aprendo la strada a nuove opportunità produttive e/o lavorative. La difesa del bene comune, dell’ambiente e della salute pubblica, assumono una priorità per una politica sociale ed economica nuova, dove l’economia si pone al servizio dell’ambiente e del territorio e non viceversa. E’ urgente cambiare pagina. Serve un cambiamento profondo dei nostri orizzonti, per dare una prospettiva alle future generazioni, in quanto non possiamo continuare ad adattarci ai cambiamenti climatici non assumendo, in merito, scelte strutturali di cambiamento. Non è la resilienza la nostra prospettiva di vita, né lo sono le soluzioni dettate dal capitale, bensì la messa in atto di una coraggiosa politica non asservita alla logica del profitto. Oggi Si amplia e si diffonde la rete delle “città sane” </w:t>
      </w:r>
    </w:p>
    <w:p w14:paraId="79EB18F4"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ISTRUZIONE E RICERCA</w:t>
      </w:r>
    </w:p>
    <w:p w14:paraId="4B294E8A"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Il nodo istruzione e ricerca: per un sapere critico quale strumento di liberazione Si è aperta una nuova fase dell’iniziativa capitalistica nei confronti della scuola, dell’università, della ricerca. Pur essendo il tentativo di funzionalizzare completamente agli interessi del sistema delle imprese gli apparati formativi e scientifici del nostro Paese un progetto di lungo periodo delle classi dominanti italiane, nel quadro delle politiche dell'Unione Europea; e Nazionali. Una narrazione </w:t>
      </w:r>
      <w:r>
        <w:rPr>
          <w:rFonts w:ascii="Times New Roman" w:eastAsia="Times New Roman" w:hAnsi="Times New Roman" w:cs="Times New Roman"/>
          <w:color w:val="000000"/>
          <w:sz w:val="28"/>
          <w:szCs w:val="28"/>
        </w:rPr>
        <w:lastRenderedPageBreak/>
        <w:t xml:space="preserve">all’impronta della centralità della formazione e della ricerca nella vita del Paese e l’ideologia delle competenze nascondono un attacco alla libertà d’insegnamento, al diritto allo studio, al carattere critico del sapere. Con il PNRR il governo non solo indirizza verso gli interessi dei grandi gruppi capitalistici notevoli risorse destinate a ricerca e formazione, ma introduce mutamenti strutturali che colpiscono alla radice il carattere pubblico e democratico delle istituzioni formative e culturali. In questo quadro i problemi antichi del comparto della conoscenza possono solo inasprirsi. </w:t>
      </w:r>
      <w:r>
        <w:rPr>
          <w:rFonts w:ascii="Times New Roman" w:eastAsia="Times New Roman" w:hAnsi="Times New Roman" w:cs="Times New Roman"/>
          <w:b/>
          <w:color w:val="000000"/>
          <w:sz w:val="28"/>
          <w:szCs w:val="28"/>
        </w:rPr>
        <w:t xml:space="preserve">Il precariato, le retribuzioni tra le più basse d’Europa, la drammatica situazione dell’edilizia scolastica e più in generale le condizioni di sicurezza (la cui insufficienza è emersa drammaticamente con la pandemia), l’assenza di politiche reali per il diritto allo studio sono problemi che non vengono affrontati e sempre più saranno un ostacolo allo sviluppo sociale, civile e anche economico del Paese. Il Pci, ribadendo la propria convinzione circa la necessità di innalzare l’obbligo scolastico a 18 anni, di eliminare il numero chiuso all’università (emblematico quanto determinato, di contro, alla facoltà di medicina e chirurgia in relazione alla pandemia da Covid 19), </w:t>
      </w:r>
      <w:r>
        <w:rPr>
          <w:rFonts w:ascii="Times New Roman" w:eastAsia="Times New Roman" w:hAnsi="Times New Roman" w:cs="Times New Roman"/>
          <w:color w:val="000000"/>
          <w:sz w:val="28"/>
          <w:szCs w:val="28"/>
        </w:rPr>
        <w:t xml:space="preserve">denuncia e contrasta queste scelte in nome della lotta alle disuguaglianze e di un’idea di sapere critico come strumento essenziale di liberazione. In questo senso lo sforzo che quotidianamente facciamo è quello della </w:t>
      </w:r>
      <w:r>
        <w:rPr>
          <w:rFonts w:ascii="Times New Roman" w:eastAsia="Times New Roman" w:hAnsi="Times New Roman" w:cs="Times New Roman"/>
          <w:b/>
          <w:color w:val="000000"/>
          <w:sz w:val="28"/>
          <w:szCs w:val="28"/>
        </w:rPr>
        <w:t xml:space="preserve">connessione delle lotte nella scuola, nell’università, nella ricerca ad un più generale impegno per la trasformazione della società. </w:t>
      </w:r>
      <w:r>
        <w:rPr>
          <w:rFonts w:ascii="Times New Roman" w:eastAsia="Times New Roman" w:hAnsi="Times New Roman" w:cs="Times New Roman"/>
          <w:color w:val="000000"/>
          <w:sz w:val="28"/>
          <w:szCs w:val="28"/>
        </w:rPr>
        <w:t xml:space="preserve">Con la consapevolezza delle difficoltà che ci stanno davanti ma anche con la fiducia che il mondo della conoscenza del nostro Paese sia ricchissimo di energie intellettuali, in particolare tra le giovani generazioni, essenziali per opporsi ai disegni reazionari e aprire una nuova fase della vita nazionale. </w:t>
      </w:r>
      <w:r>
        <w:rPr>
          <w:rFonts w:ascii="Times New Roman" w:eastAsia="Times New Roman" w:hAnsi="Times New Roman" w:cs="Times New Roman"/>
          <w:b/>
          <w:color w:val="000000"/>
          <w:sz w:val="28"/>
          <w:szCs w:val="28"/>
        </w:rPr>
        <w:t xml:space="preserve">A queste forze è rivolta la politica unitaria dei comunisti e delle comuniste nelle lotte sindacali e per migliori condizioni di studio e lavoro, nella lotta alle controriforme a partire da quella dell’autonomia differenziata, nelle iniziative di resistenza culturale, a partire da quelle contro il revisionismo storico </w:t>
      </w:r>
    </w:p>
    <w:p w14:paraId="0AB6CE64" w14:textId="77777777" w:rsidR="00446E26" w:rsidRDefault="00000000">
      <w:pPr>
        <w:shd w:val="clear" w:color="auto" w:fill="FFFFFF"/>
        <w:spacing w:before="280" w:after="0"/>
        <w:rPr>
          <w:rFonts w:ascii="Times New Roman" w:eastAsia="Times New Roman" w:hAnsi="Times New Roman" w:cs="Times New Roman"/>
          <w:b/>
          <w:color w:val="000000"/>
          <w:sz w:val="28"/>
          <w:szCs w:val="28"/>
        </w:rPr>
      </w:pPr>
      <w:r>
        <w:rPr>
          <w:rFonts w:ascii="Times New Roman" w:eastAsia="Times New Roman" w:hAnsi="Times New Roman" w:cs="Times New Roman"/>
          <w:b/>
          <w:color w:val="000000"/>
          <w:sz w:val="28"/>
          <w:szCs w:val="28"/>
        </w:rPr>
        <w:t xml:space="preserve">POLITICHE SOCIALI </w:t>
      </w:r>
    </w:p>
    <w:p w14:paraId="22188608" w14:textId="77777777" w:rsidR="00446E26" w:rsidRDefault="00446E26">
      <w:pPr>
        <w:shd w:val="clear" w:color="auto" w:fill="FFFFFF"/>
        <w:spacing w:before="280" w:after="0"/>
        <w:rPr>
          <w:rFonts w:ascii="Times New Roman" w:eastAsia="Times New Roman" w:hAnsi="Times New Roman" w:cs="Times New Roman"/>
          <w:b/>
          <w:color w:val="000000"/>
          <w:sz w:val="28"/>
          <w:szCs w:val="28"/>
        </w:rPr>
      </w:pPr>
    </w:p>
    <w:p w14:paraId="21DAA11F"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 xml:space="preserve">La crisi sanitaria dovuta alla pandemia,  la  crisi  economica e  quella  sociale  hanno  mostrato la fragilità del sistema  di  welfare  pubblico. Un sistema non in grado  di   agire   in   modo   integrato attraverso gli interventi  attivati  e  i  servizi  territoriali.  Necessario oggi un sistema    rafforzato    nella    sua    capacità    amministrativa    attraverso    investimenti    mirati    e provvedimenti volti a realizzare una fattiva cooperazione tra i diversi livelli e ambiti istituzionali. </w:t>
      </w:r>
    </w:p>
    <w:p w14:paraId="5B63EF49"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Oggi abbiamo bisogno di:</w:t>
      </w:r>
    </w:p>
    <w:p w14:paraId="23DFB93C"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lastRenderedPageBreak/>
        <w:t>Aumentare la spesa sociale.</w:t>
      </w:r>
      <w:r>
        <w:rPr>
          <w:rFonts w:ascii="Times New Roman" w:eastAsia="Times New Roman" w:hAnsi="Times New Roman" w:cs="Times New Roman"/>
          <w:color w:val="000000"/>
          <w:sz w:val="28"/>
          <w:szCs w:val="28"/>
        </w:rPr>
        <w:t xml:space="preserve">  La spesa per i servizi sociali dei Comuni è ferma allo 0,4% del PIL. È necessaria  un’inversione  di  rotta  che  riconosca  la spesa   sociale   come   una   condizione essenziale dello sviluppo del Paese. È necessario rafforzare la spesa ordinaria per gli interventi e  i servizi  sociali  per  dare  seguito,  anche  con  le  risorse  del  Fondo  Sociale  Europeo,  agli stanziamenti fatti con il PNRR, Missione 5, Componente 2, a partire dall’estensione delle progettualità ai territori che ne sono rimasti esclusi.</w:t>
      </w:r>
    </w:p>
    <w:p w14:paraId="58D1F3FC"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Definire i LEPS</w:t>
      </w:r>
      <w:r>
        <w:rPr>
          <w:rFonts w:ascii="Times New Roman" w:eastAsia="Times New Roman" w:hAnsi="Times New Roman" w:cs="Times New Roman"/>
          <w:color w:val="000000"/>
          <w:sz w:val="28"/>
          <w:szCs w:val="28"/>
        </w:rPr>
        <w:t xml:space="preserve"> e rafforzare i servizi sociali. È necessario definire e finanziare adeguatamente i Livelli  Essenziali  delle  Prestazioni  Sociali  (LEPS):  tutto  ciò  che  le  istituzioni  pubbliche  devono erogare   per   rendere   esigibili   quei   diritti   sociali   fondamentali   a garantire   una   dignitosa esperienza  di  vita  a  tutti e  ad  assicurare  la  liberazione  dai  bisogni  e  la  riduzione  delle disuguaglianze.  È  necessario  che  lo Stato si faccia promotore e garante dell’uniformità del diritto alla salute, all’istruzione, al lavoro, all’assistenza  e alla  mobilità  in  tutto  il  territorio nazionale, nel pieno rispetto del dettato costituzionale. Un’uniformità da perseguire anche con la definizione nazionale dei criteri di attuazione delle politiche e degli standard qualitativi delle prestazioni   che   le   istituzioni   territoriali   devono   assicurare   attraverso   il potenziamento dell’infrastruttura sociale. I servizi  pubblici  territoriali sono  indispensabili  per  rispondere  in modo  integrato  alla  molteplicità  dei  bisogni  delle  persone,  delle  famiglie,  dei  minori, degli anziani,  delle  persone  non  autosufficienti  o  con  disabilità,  con  problemi  di  salute  mentale, dipendenze, con cronicità, ecc.</w:t>
      </w:r>
    </w:p>
    <w:p w14:paraId="0989E570"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Dare  risposte  integrate a  bisogni  complessi</w:t>
      </w:r>
      <w:r>
        <w:rPr>
          <w:rFonts w:ascii="Times New Roman" w:eastAsia="Times New Roman" w:hAnsi="Times New Roman" w:cs="Times New Roman"/>
          <w:color w:val="000000"/>
          <w:sz w:val="28"/>
          <w:szCs w:val="28"/>
        </w:rPr>
        <w:t xml:space="preserve">. La  risposta  ai  bisogni  sociali  della  popolazione deve avvenire attraverso  una  presa  in  carico  integrata  tra  i  vari  interventi  e  diversi  servizi esistenti  sul  territorio  sociali,  sanitari,  socio-sanitari,  abitativi,  educativi.  È  necessario  siano diffusi  su tutto  il  territorio luoghi  di prima  presa  in  carico della popolazione  in  cui, attraverso una valutazione preliminare dei bisogni da parte di personale specializzato, si orienti la persona verso  i  servizi  idonei  ai  bisogni  espressi  per  arrivare,  così,  alla  definizione  di  un progetto personalizzato. La prima presa in carico deve avvenire, oltre che nelle Case della Comunità con i Punti Unici di Accesso (PUA), anche in tutti i luoghi, facilmente accessibili ed identificabili per la popolazione, individuati dall’Ambito Territoriale Sociale (ATS), e deve avere  un’adeguata dotazione organica, comprensiva di tutte le professionalità necessarie. </w:t>
      </w:r>
    </w:p>
    <w:p w14:paraId="0A33B9D4"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Contrastare la  povertà</w:t>
      </w:r>
      <w:r>
        <w:rPr>
          <w:rFonts w:ascii="Times New Roman" w:eastAsia="Times New Roman" w:hAnsi="Times New Roman" w:cs="Times New Roman"/>
          <w:color w:val="000000"/>
          <w:sz w:val="28"/>
          <w:szCs w:val="28"/>
        </w:rPr>
        <w:t xml:space="preserve">. La  povertà  non  è  una  colpa. Dobbiamo eliminare le disposizioni  che  penalizzano  le  famiglie  numerose  e  con  minori,  e  quelle  che  discriminano  gli stranieri, e, soprattutto, va rafforzata la modalità di presa in carico dei beneficiari da parte dei servizi  pubblici  del  territorio.  Ambiti  Territoriali  Sociali (ATS) e  Centri  per l’Impiego devono operare   in   modo   integrato   per   attivare   tutte   le   politiche   e   gli   interventi   necessari   a promuovere sia l’inclusione sociale dei beneficiari, con i necessari progetti personalizzati volti a rispondere  e  prevenire  le necessità  dell’intero nucleo  familiare  in  condizione  di  bisogno,  sia  i percorsi  di  orientamento  e  formazione  per  favorirne  l’inclusione  lavorativa,  senza  dover sottostare a condizionalità mortificanti. </w:t>
      </w:r>
    </w:p>
    <w:p w14:paraId="7D6CC012"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lastRenderedPageBreak/>
        <w:t>Definire  un sistema  di  protezione  sociale</w:t>
      </w:r>
      <w:r>
        <w:rPr>
          <w:rFonts w:ascii="Times New Roman" w:eastAsia="Times New Roman" w:hAnsi="Times New Roman" w:cs="Times New Roman"/>
          <w:color w:val="000000"/>
          <w:sz w:val="28"/>
          <w:szCs w:val="28"/>
        </w:rPr>
        <w:t xml:space="preserve">  capace  di agire  in  termini  preventivi, che  sostenga lavoratrici  e  lavoratori  discontinui nei  periodi  di  non  lavoro  e  le  persone  nei  percorsi  di formazione  e  riqualificazione,  e  che  si  attivi  prima  della  caduta  in  povertà  della  persona  per sostenerne l’inserimento lavorativo e prevenirne l’esclusione sociale.</w:t>
      </w:r>
    </w:p>
    <w:p w14:paraId="50116C5F"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 xml:space="preserve"> Interventi  e  servizi  universali.</w:t>
      </w:r>
      <w:r>
        <w:rPr>
          <w:rFonts w:ascii="Times New Roman" w:eastAsia="Times New Roman" w:hAnsi="Times New Roman" w:cs="Times New Roman"/>
          <w:color w:val="000000"/>
          <w:sz w:val="28"/>
          <w:szCs w:val="28"/>
        </w:rPr>
        <w:t xml:space="preserve"> Un sistema  di  welfare  universale  non  può fondarsi  sui  trasferimenti  monetari  e  non  può  scaricare  sulle  famiglie  la  risposta  ai  bisogni. Deve  essere strutturato  in  un sistema  articolato  di  servizi  pubblici  che  prenda  in  carico  e  che assicuri  l’accesso  a  prestazioni.  I  trasferimenti  monetari  possono  essere  una  necessaria integrazione,  ma  non  la  principale  o  unica  forma  di  risposta  pubblica  rivolta  ad  anziani, non autosufficienti,   persone   con   disabilità,  minori,  che  ottenuto  il  trasferimento  vengono abbandonati  a  loro  stessi.  Il  contributo  economico  non  è  una  libera  scelta,  è  una  condanna  a sbrigarsela  da  sé  e  un  incentivo  al  sistema  privato. Ancor  di  più i  meri trasferimenti  monetari non    hanno    efficacia  qualora  abbiano  carattere  temporaneo  (bonus).  L’introduzione dell’assegno unico e universale per figlie e figli come misura indirizzata specificamente a loro e non più alla famiglia di appartenenza procede nella direzione di un intervento strutturale, ma è necessario    impedire    che    alcuni    nuclei    familiari-soprattutto    i    più    fragili-subiscano penalizzazioni.  È  necessario  perciò  rendere  stabili  nel  tempo  le  salvaguardie  per  i  nuclei  con ISEE inferiore ai 30 mila euro e trovare una soluzione che non penalizzi i minori appartenenti a nuclei  familiari  percettori  del  reddito  di  cittadinanza  o  composti  da  lavoratrici  e  lavoratori stranieri.</w:t>
      </w:r>
    </w:p>
    <w:p w14:paraId="47775FD6"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Adottare adeguate  politiche  pubbliche  rivolte  ai  minori</w:t>
      </w:r>
      <w:r>
        <w:rPr>
          <w:rFonts w:ascii="Times New Roman" w:eastAsia="Times New Roman" w:hAnsi="Times New Roman" w:cs="Times New Roman"/>
          <w:color w:val="000000"/>
          <w:sz w:val="28"/>
          <w:szCs w:val="28"/>
        </w:rPr>
        <w:t xml:space="preserve">,  non  scaricare  sulle  famiglie  i  costi delle risposte ai loro bisogni di sviluppo e crescita che non sono circoscritti al –fondamentale -tempo  scuola  e  non  possono  essere  demandati  integralmente  al  sistema  familiare  e  privato, ma  devono  essere  promossi  da  uno  stato  sociale realmente  inclusivo  nel garantire  uguali opportunità. Gli asili nido e la scuola dell’infanzia devono essere garantiti in tutti i territori, gratuitamente,  estendendo  il  tempo  pieno,  anche  nella  scuola  primaria,  ma  le  politiche  per  i minori  non  devono  esaurirsi con  il  necessario  potenziamento  del  sistema  educativo  e  di istruzione:  devono  essere  attuati anche interventi  volti  a  promuovere  opportunità  culturali, sportive  e  di  socializzazione  per  bambini  e  adolescenti.  È  necessario  altresì  intercettare  le potenziali situazioni di  disagio  dei  minori all’interno  del  nucleo  familiare,  garantendo  che  la funzione  dei  consultori  si  estenda  anche  al  necessario  supporto  ai  nuclei  stessi  qualora  non </w:t>
      </w:r>
    </w:p>
    <w:p w14:paraId="49A48117"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color w:val="000000"/>
          <w:sz w:val="28"/>
          <w:szCs w:val="28"/>
        </w:rPr>
        <w:t>8siano in grado di affrontare le situazioni di conflitto derivanti dalla mancata accettazione della famiglia di percorsi di crescita dei minori non conformi alle aspettative dei genitori.</w:t>
      </w:r>
    </w:p>
    <w:p w14:paraId="46F91BDB"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Non  delegare  ai caregiveril peso della cura e dell’assistenza di una persona disabile e non autosufficiente.</w:t>
      </w:r>
      <w:r>
        <w:rPr>
          <w:rFonts w:ascii="Times New Roman" w:eastAsia="Times New Roman" w:hAnsi="Times New Roman" w:cs="Times New Roman"/>
          <w:color w:val="000000"/>
          <w:sz w:val="28"/>
          <w:szCs w:val="28"/>
        </w:rPr>
        <w:t xml:space="preserve"> L’assistenza  a  un  familiare  deve  essere   una  vera libera   scelta -non un’imposizione  dettata  dall’assenza  di  politiche  pubbliche  adeguate -ed   è   necessario promuovere  il  riconoscimento  del  ruolo  e  della  </w:t>
      </w:r>
      <w:r>
        <w:rPr>
          <w:rFonts w:ascii="Times New Roman" w:eastAsia="Times New Roman" w:hAnsi="Times New Roman" w:cs="Times New Roman"/>
          <w:color w:val="000000"/>
          <w:sz w:val="28"/>
          <w:szCs w:val="28"/>
        </w:rPr>
        <w:lastRenderedPageBreak/>
        <w:t>funzione  del  caregiver,  fornendo  i  necessari servizi di sostegno, sollievo e supporto.</w:t>
      </w:r>
    </w:p>
    <w:p w14:paraId="5DAE8BDB"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Superare processi   di   esternalizzazione   e privatizzazione.</w:t>
      </w:r>
      <w:r>
        <w:rPr>
          <w:rFonts w:ascii="Times New Roman" w:eastAsia="Times New Roman" w:hAnsi="Times New Roman" w:cs="Times New Roman"/>
          <w:color w:val="000000"/>
          <w:sz w:val="28"/>
          <w:szCs w:val="28"/>
        </w:rPr>
        <w:t xml:space="preserve">   È   necessario far   rientrare   nel perimetro  pubblico  le  funzioni  essenziali  di  tutela  e  protezione,  e  ricomporre  la  filiera  dei diritti  delle  persone,  superando  i  processi  di  esternalizzazione  e  privatizzazione. E’ prioritario tornare  a  investire  nel sistema  pubblico  di  protezione  sociale  e  riportare  le  politiche  sociali  e sanitarie  al corretto  rapporto  tra  pubblico  e  privato, anche  rispetto  al  ruolo  degli  Enti  del Terzo   Settore   e  del  No   Profit, la   cui   azione   non   può mai   essere  sostitutiva,   a partire dall’individuazione dei bisogni e dalla programmazione degli interventi.  È  necessario  che  la regolamentazione dei  rapporti e  la  definizione  delle  procedure  di  amministrazione  condivisa prevedano  un  coinvolgimento stabile  delle  parti  sociali  e  garanzie  sulle  condizioni  di  lavoro degli operatori ammessi, a partire dall’applicazione dei CCNL sottoscritti dalle organizzazioni sindacali  maggiormente  rappresentative  a  livello  nazionale, che  deve  essere  prerequisito di ogni regolamento a riguardo. La tutela del lavoro deve riguardare anche la riqualificazione del lavoro delle assistenti familiari (badanti) con sistemi integrati di formazione, incontro domanda e offerta di lavoro mirati, supporto all’inserimento nel contesto  familiare,  garanzia  della regolarità dei rapporti di lavoro.</w:t>
      </w:r>
    </w:p>
    <w:p w14:paraId="0C382E99" w14:textId="77777777" w:rsidR="00446E26" w:rsidRDefault="00000000">
      <w:pPr>
        <w:shd w:val="clear" w:color="auto" w:fill="FFFFFF"/>
        <w:spacing w:after="0" w:line="240" w:lineRule="auto"/>
        <w:rPr>
          <w:rFonts w:ascii="Times New Roman" w:eastAsia="Times New Roman" w:hAnsi="Times New Roman" w:cs="Times New Roman"/>
          <w:color w:val="000000"/>
          <w:sz w:val="28"/>
          <w:szCs w:val="28"/>
        </w:rPr>
      </w:pPr>
      <w:r>
        <w:rPr>
          <w:rFonts w:ascii="Times New Roman" w:eastAsia="Times New Roman" w:hAnsi="Times New Roman" w:cs="Times New Roman"/>
          <w:b/>
          <w:color w:val="000000"/>
          <w:sz w:val="28"/>
          <w:szCs w:val="28"/>
        </w:rPr>
        <w:t>È  necessario  che  il welfare  contrattuale piani  di  welfare  e  fondi  sanitari  integrativi  sia orientato  a  un  rapporto  più  stretto  con  la  rete  dei  servizi  pubblici  territoriali,</w:t>
      </w:r>
      <w:r>
        <w:rPr>
          <w:rFonts w:ascii="Times New Roman" w:eastAsia="Times New Roman" w:hAnsi="Times New Roman" w:cs="Times New Roman"/>
          <w:color w:val="000000"/>
          <w:sz w:val="28"/>
          <w:szCs w:val="28"/>
        </w:rPr>
        <w:t xml:space="preserve">  da  esercitare  in una dimensione  sinergica  e integrativa  al  servizio  universale–e  non  sostitutiva -con  una funzione  di  sostegno  al  welfare  pubblico  e  quindi  solidaristica  rispetto  alla  comunità. Vanno ridotte,  inoltre,  le  forme  di  defiscalizzazione  e  decontribuzione  destinate  a  prestazioni  non propriamente di welfare.</w:t>
      </w:r>
    </w:p>
    <w:p w14:paraId="6260557C" w14:textId="77777777" w:rsidR="00446E26" w:rsidRDefault="00000000">
      <w:pPr>
        <w:shd w:val="clear" w:color="auto" w:fill="FFFFFF"/>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Un  confronto  costante  tra  istituzioni  e  sindacato</w:t>
      </w:r>
      <w:r>
        <w:rPr>
          <w:rFonts w:ascii="Times New Roman" w:eastAsia="Times New Roman" w:hAnsi="Times New Roman" w:cs="Times New Roman"/>
          <w:color w:val="000000"/>
          <w:sz w:val="28"/>
          <w:szCs w:val="28"/>
        </w:rPr>
        <w:t xml:space="preserve">. Per rispondere all’emergere continuo nel tempo  di nuove  povertà  e  nuovi  bisogni,  è  prioritario,  a  anche  livello  territoriale,  individuare luoghi  di confronto  tra  Sindacato,  Associazioni,  Regioni,  Enti  Locali  e  ASL in  cui  agire  la contrattazione  sociale  territoriale per  aggiornare  una  mappatura  dei  bisogni  che  riconosca nuove fragilità e definisca nuove risposte. </w:t>
      </w:r>
      <w:r>
        <w:rPr>
          <w:rFonts w:ascii="Times New Roman" w:eastAsia="Times New Roman" w:hAnsi="Times New Roman" w:cs="Times New Roman"/>
          <w:sz w:val="28"/>
          <w:szCs w:val="28"/>
        </w:rPr>
        <w:t xml:space="preserve">Favorire il mantenimento di un buono stato di salute lungo l’intero corso della vita aumenta la speranza di vita in buona salute e la longevità apportando degli importanti benefici economici, sociali e individuali. Desideriamo vedere realizzate migliori condizioni di salute e di benessere per tutti, come diritto umano che risponde al principio di uguaglianza. Attuare buone politiche che promuovono l’equità hanno una maggiore possibilità in questo senso. Dobbiamo contrastare le cause profonde (dei problemi di salute e delle diseguaglianze) attraverso un approccio orientato ai determinanti sociali che coinvolga tutti i livelli regionali e l’intera società. Gli obiettivi che ci poniamo sono di “migliorare in modo significativo la salute e il benessere delle popolazioni, ridurre le diseguaglianze di salute, rafforzare la sanità pubblica e garantire sistemi sanitari con al centro la persona, universali, equi, sostenibili e di alta qualità”. In un mondo in cui non a tutti sono date le stesse </w:t>
      </w:r>
      <w:r>
        <w:rPr>
          <w:rFonts w:ascii="Times New Roman" w:eastAsia="Times New Roman" w:hAnsi="Times New Roman" w:cs="Times New Roman"/>
          <w:sz w:val="28"/>
          <w:szCs w:val="28"/>
        </w:rPr>
        <w:lastRenderedPageBreak/>
        <w:t>possibilità di salute, di vita e sviluppo, due sono le opzioni che ci spettano: o rimaniamo inermi senza possibilità di cambiare le cose, oppure possiamo, con la forza ed il desiderio di cambiare, con la volontà di creare un mondo più giusto e migliore dove la salute di ogni persona non sia più influenzata dal posto in cui nasce, cresce e vive, dal colore della loro pelle o dalla mancate opportunità.</w:t>
      </w:r>
      <w:r>
        <w:rPr>
          <w:rFonts w:ascii="Times New Roman" w:eastAsia="Times New Roman" w:hAnsi="Times New Roman" w:cs="Times New Roman"/>
          <w:sz w:val="24"/>
          <w:szCs w:val="24"/>
        </w:rPr>
        <w:t xml:space="preserve"> </w:t>
      </w:r>
    </w:p>
    <w:p w14:paraId="24BC4ED7" w14:textId="77777777" w:rsidR="00446E26" w:rsidRDefault="00000000">
      <w:pPr>
        <w:shd w:val="clear" w:color="auto" w:fill="FFFFFF"/>
        <w:spacing w:before="280" w:after="0"/>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SPORT</w:t>
      </w:r>
    </w:p>
    <w:p w14:paraId="67294AF2"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Lo sport è una delle linee programmatiche del partito per il un benessere fisico delle persone, valorizzandone l’importanza in linea prospettica con la salute.</w:t>
      </w:r>
    </w:p>
    <w:p w14:paraId="362D12A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Secondo la definizione dell’OMS, per attività fisica si intende ogni movimento corporeo prodotto dai muscoli scheletrici che comporti un dispendio energetico - incluse le attività effettuate lavorando, giocando, dedicandosi alle faccende domestiche, viaggiando e impegnandosi in attività ricreative. Come organizzazione politica riteniamo che uno dei pilastri sui quali si basa il raggiungimento della salute dinamica è l'efficienza fisica, che si consegue solo attraverso il movimento. Facendo attività fisica manteniamo operativi i nostri organi, migliorando i tessuti e le funzioni del corpo, rallentando i processi di invecchiamento. Tutti invecchiamo : è la legge dell'età cronologica. Tuttavia stili di vita corretti e adeguati possono rallentare l'invecchiamento naturale.</w:t>
      </w:r>
    </w:p>
    <w:p w14:paraId="7A30C031"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L’attività fisica di intensità moderata che quella vigorosa apportano benefici alla salute. Per risultare benefica per la salute cardio respiratoria, ogni attività fisica dovrebbe essere praticata in sessioni di almeno 10 minuti di durata.</w:t>
      </w:r>
    </w:p>
    <w:p w14:paraId="3B4A14DB"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Supportiamo un’attività fisica regolare di intensità moderata - ad esempio camminare, andare in bicicletta o praticare sport - apporta benefici significativi alla salute. Ad ogni età, i benefici dell’attività fisica superano i potenziali danni, ad esempio quelli legati ad incidenti. Praticare anche poca attività fisica è meglio che non praticarne affatto. I livelli di attività consigliati si possono raggiungere abbastanza facilmente rendendosi più attivi nel corso della giornata in modi relativamente semplici. </w:t>
      </w:r>
    </w:p>
    <w:p w14:paraId="240EF58B"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Livelli di attività fisica regolari e adeguati: </w:t>
      </w:r>
    </w:p>
    <w:p w14:paraId="6CEEA31F"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aumentano il benessere muscolare e cardio respiratorio;</w:t>
      </w:r>
    </w:p>
    <w:p w14:paraId="19F4BCFF"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migliorano la salute ossea e funzionale;</w:t>
      </w:r>
    </w:p>
    <w:p w14:paraId="5D03494B"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riducono il rischio di ipertensione, malattie cardiache coronariche, ictus, diabete, tumore della mammella e del colon e depressione; </w:t>
      </w:r>
    </w:p>
    <w:p w14:paraId="621FA71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riducono il rischio di cadute e di fratture dell’anca o delle vertebre; </w:t>
      </w:r>
    </w:p>
    <w:p w14:paraId="735A56A6"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sono fondamentali per l’equilibrio energetico e il controllo del peso. </w:t>
      </w:r>
    </w:p>
    <w:p w14:paraId="6BBB261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lastRenderedPageBreak/>
        <w:t>L’inattività fisica è la causa principale di circa:</w:t>
      </w:r>
    </w:p>
    <w:p w14:paraId="05B085D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il 21-25% dei tumori della mammella e del colon </w:t>
      </w:r>
      <w:r>
        <w:rPr>
          <w:rFonts w:ascii="Times New Roman" w:eastAsia="Times New Roman" w:hAnsi="Times New Roman" w:cs="Times New Roman"/>
          <w:sz w:val="24"/>
          <w:szCs w:val="24"/>
        </w:rPr>
        <w:t xml:space="preserve"> • </w:t>
      </w:r>
      <w:r>
        <w:rPr>
          <w:rFonts w:ascii="Times New Roman" w:eastAsia="Times New Roman" w:hAnsi="Times New Roman" w:cs="Times New Roman"/>
          <w:sz w:val="28"/>
          <w:szCs w:val="28"/>
        </w:rPr>
        <w:t>il 27% dei casi di diabete</w:t>
      </w:r>
      <w:r>
        <w:rPr>
          <w:rFonts w:ascii="Times New Roman" w:eastAsia="Times New Roman" w:hAnsi="Times New Roman" w:cs="Times New Roman"/>
          <w:sz w:val="24"/>
          <w:szCs w:val="24"/>
        </w:rPr>
        <w:t xml:space="preserve"> • </w:t>
      </w:r>
      <w:r>
        <w:rPr>
          <w:rFonts w:ascii="Times New Roman" w:eastAsia="Times New Roman" w:hAnsi="Times New Roman" w:cs="Times New Roman"/>
          <w:sz w:val="28"/>
          <w:szCs w:val="28"/>
        </w:rPr>
        <w:t>il 30% delle malattie cardiache ischemiche.</w:t>
      </w: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Diversi fattori ambientali collegati all’urbanizzazione possono scoraggiare le persone dal diventare più attive, ad esempio: </w:t>
      </w:r>
    </w:p>
    <w:p w14:paraId="600B41F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paura della violenza e del crimine nelle aree all’aperto </w:t>
      </w:r>
    </w:p>
    <w:p w14:paraId="2AEEE87E"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alta densità di traffico</w:t>
      </w:r>
    </w:p>
    <w:p w14:paraId="2A59E6FE"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 xml:space="preserve">cattiva qualità dell’aria, inquinamento </w:t>
      </w:r>
    </w:p>
    <w:p w14:paraId="55FF611C"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sz w:val="28"/>
          <w:szCs w:val="28"/>
        </w:rPr>
        <w:t>assenza di parchi, marciapiedi e impianti sportivi e ricreativi.</w:t>
      </w:r>
    </w:p>
    <w:p w14:paraId="413D49E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Questo fenomeno noi lo dobbiamo arginare creando aree apposite risulta necessario adottare il “Piano d’azione regionale” con elaborate politiche e piani per contrastare l’inattività fisica. La regione adottando politiche mirate in una serie di settori deve promuovere e favorire l’attività fisica. </w:t>
      </w:r>
    </w:p>
    <w:p w14:paraId="67494835"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 xml:space="preserve">Le politiche per aumentare il livello di attività fisica mirano a garantire che: </w:t>
      </w:r>
    </w:p>
    <w:p w14:paraId="01640DEC"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camminare, andare in bicicletta e altre forme di trasporto attivo siano accessibili e sicure per tutti;</w:t>
      </w:r>
    </w:p>
    <w:p w14:paraId="7676C31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le politiche relative al lavoro e al posto di lavoro incoraggino l’attività fisica;</w:t>
      </w:r>
    </w:p>
    <w:p w14:paraId="45273794"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 xml:space="preserve">le scuole abbiano spazi e strutture sicuri per permettere agli studenti di occupare il tempo libero in maniera attiva; </w:t>
      </w:r>
    </w:p>
    <w:p w14:paraId="0C8BEF4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un’educazione fisica di qualità aiuti i bambini a sviluppare modelli di comportamento che permettano loro di rimanere attivi in tutto il corso dell’esistenza;</w:t>
      </w:r>
    </w:p>
    <w:p w14:paraId="6F67275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 xml:space="preserve">impianti sportivi e ricreativi forniscano a tutti l’opportunità di praticare sport. </w:t>
      </w:r>
    </w:p>
    <w:p w14:paraId="635D4FC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Per il raggiungimento dei livelli consigliati di attività fisica nella regione sono proposte diverse opzioni di policy, tra cui: </w:t>
      </w:r>
    </w:p>
    <w:p w14:paraId="0DCA8C64"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l’elaborazione e attuazione di linee guida regionali per l’attività fisica mirata al miglioramento della salute;</w:t>
      </w:r>
    </w:p>
    <w:p w14:paraId="2E789EE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 xml:space="preserve">l’integrazione dell’attività fisica nelle politiche di altri settori correlati, allo scopo di garantire che le politiche e i piani d’azione siano coerenti e complementari; </w:t>
      </w:r>
    </w:p>
    <w:p w14:paraId="64752E8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 xml:space="preserve">• </w:t>
      </w:r>
      <w:r>
        <w:rPr>
          <w:rFonts w:ascii="Times New Roman" w:eastAsia="Times New Roman" w:hAnsi="Times New Roman" w:cs="Times New Roman"/>
          <w:b/>
          <w:sz w:val="28"/>
          <w:szCs w:val="28"/>
        </w:rPr>
        <w:t xml:space="preserve">il ricorso ai mass media per aumentare la consapevolezza sui benefici dell’attività fisica; </w:t>
      </w:r>
    </w:p>
    <w:p w14:paraId="7E86E1BB"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 </w:t>
      </w:r>
      <w:r>
        <w:rPr>
          <w:rFonts w:ascii="Times New Roman" w:eastAsia="Times New Roman" w:hAnsi="Times New Roman" w:cs="Times New Roman"/>
          <w:b/>
          <w:sz w:val="28"/>
          <w:szCs w:val="28"/>
        </w:rPr>
        <w:t xml:space="preserve">la sorveglianza e il monitoraggio degli interventi per la promozione dell’attività fisica. </w:t>
      </w:r>
    </w:p>
    <w:p w14:paraId="178ECA55"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Lo sport è un valore aggiunto non trascuriamolo.</w:t>
      </w:r>
    </w:p>
    <w:p w14:paraId="5BF4DB0C" w14:textId="77777777" w:rsidR="00446E26" w:rsidRDefault="00446E26">
      <w:pPr>
        <w:spacing w:before="280" w:after="0" w:line="240" w:lineRule="auto"/>
        <w:rPr>
          <w:rFonts w:ascii="Times New Roman" w:eastAsia="Times New Roman" w:hAnsi="Times New Roman" w:cs="Times New Roman"/>
          <w:b/>
          <w:sz w:val="28"/>
          <w:szCs w:val="28"/>
        </w:rPr>
      </w:pPr>
    </w:p>
    <w:p w14:paraId="5B842FBA" w14:textId="77777777" w:rsidR="00446E26" w:rsidRDefault="00446E26">
      <w:pPr>
        <w:spacing w:before="280" w:after="0" w:line="240" w:lineRule="auto"/>
        <w:rPr>
          <w:rFonts w:ascii="Times New Roman" w:eastAsia="Times New Roman" w:hAnsi="Times New Roman" w:cs="Times New Roman"/>
          <w:b/>
          <w:sz w:val="28"/>
          <w:szCs w:val="28"/>
        </w:rPr>
      </w:pPr>
    </w:p>
    <w:p w14:paraId="7927E0A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LA POLITICA ED I GIOVANI</w:t>
      </w:r>
    </w:p>
    <w:p w14:paraId="09E1C6E7"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I giovani (ri)avviciniamoli alla politica. I dati forniti dall’ISTAT su base statistica ci dicono che ai giovani la politica oggi non interessa, o meglio, non interessa fare politica in modo tradizionale in un partito o nell’amministrazione. In assenza di vistosi movimenti collettivi di stampo politico essi sono distanti o indifferenti rispetto alla politica e più in generale all'impegno pubblico. Non amano forme di impegno che non rilevino subito la loro utilità in termini di gratificazioni, ma è precisamente per questo che preferiscono dare il proprio tempo per affrontare un bisogno evidente ed immediato piuttosto che promuovere valori ed interessi astrattamente intesi. Il bisogno di concretizzare dei giovani passa attraverso la priorità del termine sociale rispetto al termine politico. Rifiutano le istituzioni in quanto non trovano in esse un substrato sociale. Per loro è importante dare una testimonianza sociale. Una buona fetta quindi non accetta il sistema e le istituzioni perché non sociali, qualche volta si sentono, non hanno ideologia politica e non la cercano. Negli ultimi sei anni, dal 2014 al 2019, i livelli di partecipazione politica delle persone di 14 anni e più sono in calo, anche se in corrispondenza di scadenze elettorali importanti mostrano una leggera risalita. Tra il 2014 e il 2019 passa dal 18,9% al 23,2% la quota di persone di 14 anni e più che non partecipano alla vita politica. La partecipazione politica avviene in modo soprattutto indiretto, cioè informandosi o parlandone (74,8%) e poco per via attiva (8,0%). I giovani sono i più coinvolti dalla politica attiva, il 14%, in età tra i 14 e i 24 anni, ha partecipato in modo diretto, soprattutto andando a cortei (12,8%). Porre la giusta attenzione a questi dati ci mette davanti ad uno spaccato sociale che potrebbe risultare pericoloso, un domani potrebbero essere utilizzati impropriamente in quanto una massa da manovrare. Siamo in grado però anche di poter affermare che una buona parte si è disinteressata o non informata, ma in molti fanno volontariato, creano associazioni, lavorano per il loro futuro e non scommetterebbero sulla politica in senso stretto. Visualizzare ora lo spaccato italiano all’interno della cornice Europa è importante poiché ci consente di confrontare il nostro Paese con gli altri dell’Unione, così da osservare l’approccio dell’UE al coinvolgimento politico delle nuove generazioni. </w:t>
      </w:r>
    </w:p>
    <w:p w14:paraId="35983ECC"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lastRenderedPageBreak/>
        <w:t>La strategia dell’UE per la gioventù attraverso la Youth Policy Strategy (portale europeo per i giovani) si fonda sulla Risoluzione del Consiglio Europeo del 26 Novembre 2018 ed ha una unica strategia dare voce ai giovani affinché possano ricoprire un ruolo centrale nell’UE. Facciamo ora un'analisi su base nazionale ed europea. Ci sono informazioni interessanti sulla partecipazione politica giovanile in Italia e nell’UE, di cui qui di seguito si evidenzieranno alcune variabili importanti. Come primo indicatore, si prenda in considerazione il crescente interesse in politica da parte dei giovani.</w:t>
      </w:r>
    </w:p>
    <w:p w14:paraId="2CADD866"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I dati dimostrano che, a partire dal 2010, l’interesse dei giovani (15-24 anni) è aumentato considerevolmente: la media UE ha registrato un aumento dal 40% del 2010 al 50% del 2017, probabilmente a causa dell’uso crescente di Social Media e dispositivi elettronici. Come seconda variabile rilevante, si consideri la percezione, tra i più giovani, della cittadinanza Europea: nel decennio 2010-2020 la fetta più giovane della popolazione (15-24 anni e 25-39) registra quasi l’80% e il 75% (contro il 70% e 60% più anziano).Tuttavia, nonostante il crescente interesse politico, la percentuale di giovani elettori risulta in continuo calo a livello Europeo (74% nel 2017). L’Italia, insieme a Malta, Austria e Polonia, registra una fra le più alte partecipazioni (80%), mentre la situazione è drammatica in Irlanda, Lussemburgo e Cipro (oscillante fra il 40% e 45%). In breve quindi i “giovani (non) politici italiani” sono in netto vantaggio dal punto di vista della partecipazione politica in confronto al resto della gioventù europea, soprattutto per ciò che riguarda la percentuale di giovani attiva in associazioni politiche informali e alternative ai partiti ufficiali volte al miglioramento della realtà locale, mentre come nel resto dell’Europa l’adesione dei giovani ai partiti politici è in continuo calo. </w:t>
      </w:r>
    </w:p>
    <w:p w14:paraId="2453950D"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Ecco da questi dati dobbiamo (ri)partire.</w:t>
      </w:r>
    </w:p>
    <w:p w14:paraId="3589DEF4"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Abbiamo bisogno di una capillare diffusione, strutture di consulenza, campagne di informazione mirate ai giovani con una offerta formativa predisposta ai diritti, doveri, valori e partecipazione democratica. Promuovere il dialogo interculturale, la comunicazione trasparente su misura per i giovani, il servizio civile Universale ove non presente. Creare Hub come elemento centrale o centratore che funga da smistamento dati per una rete di comunicazioni territoriali, provinciali, regionali e nazionali attraverso una serie di spoke che avrebbero il compito di offrire ai giovani tutto il necessario per attuare politiche sociali sanitarie ed economiche. Insomma abbiamo bisogno della promozione alla partecipazione inclusiva nella via sociale e politica, al fine di consentire ai giovani di concorrere al processo decisionale e poter orientare le politiche rivolte ai target di riferimento. Noi vorremmo i giovani protagonisti del loro presente e del loro futuro.</w:t>
      </w:r>
    </w:p>
    <w:p w14:paraId="053AF835"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IL RUOLO DELLE DONNE NELLA SOCIETA’</w:t>
      </w:r>
    </w:p>
    <w:p w14:paraId="4250BA42"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Non esiste prospettiva comunista senza la liberazione delle donne. La subordinazione femminile e la condizione di sfruttamento delle donne, sono il prodotto storico della </w:t>
      </w:r>
      <w:r>
        <w:rPr>
          <w:rFonts w:ascii="Times New Roman" w:eastAsia="Times New Roman" w:hAnsi="Times New Roman" w:cs="Times New Roman"/>
          <w:sz w:val="28"/>
          <w:szCs w:val="28"/>
        </w:rPr>
        <w:lastRenderedPageBreak/>
        <w:t xml:space="preserve">loro esclusione dai rapporti produttivi con la conseguente relegazione nell’ambito familiare che il sistema capitalistico ha accentuato. La divisione sociale del lavoro e la nascita della famiglia patriarcale hanno rappresentato il soggiogamento di un sesso da parte dell’altro con la “grande sconfitta storica delle donne”. Oggi, occorre che il Partito Comunista Italiano si faccia carico dell’oppressione di genere e delle disuguaglianze, discriminazioni e violenze (sessuali, fisiche, psicologiche ed economiche) che da essa sono derivate. Un nodo riconducibile alla contraddizione capitale-lavoro che attraversa l’intera organizzazione sociale e la stessa condizione operaia, e a quella capitale-natura. In merito, è indispensabile che il Partito ponga tra i suoi obiettivi prioritari di trasformazione strutturale e politico-culturale la liberazione delle donne (52% della popolazione italiana), facendo proprio l’impegno di promuovere la presenza di una maggior numero di compagne alla vita e alla direzione della nostra organizzazione. Noi traduciamo la liberazione delle donne come affermazione di un’identità di genere non subordinata alla logica, alla cultura e al linguaggio maschili assunti come “naturali” e “universali. Il primo passo in tale direzione consiste nella riappropriazione del proprio corpo, della propria sessualità e affettività, della propria maternità. Quest’ultima, dev’essere frutto di una libera scelta compatibile nei fatti, con l’essere insieme madri, lavoratrici e attrici sulla scena pubblica e politica. Una scelta ostacolata dalla disattesa attuazione della legge 194/1978 sull’interruzione volontaria di gravidanza a cui, specularmente, si contrappone la non libertà di essere madri tutte le volte che invece le donne lo desiderano, a causa di disoccupazione, precarietà lavorativa, carenza di servizi pubblici (infanzia, sociali per la terza e quarta età, insufficienza di case popolari). Il carico pressoché esclusivo delle funzioni relative al lavoro domestico e a quello di cura (figli/e, vecchi/e, ammalati/e, disabili), rappresenta inoltre un ulteriore peso con cui esse devono fare i conti. Un peso che la pandemia ha aggravato, associandosi ad una massiccia azione di espulsione delle donne dal mondo del lavoro. In merito, serve puntare ad una pari quantità di congedi parentali tra donne e uomini per accudire i figli piccoli e una distribuzione paritaria dei carichi domestici da facilitarsi con l’applicazione di una generalizzata riduzione dell'orario di lavoro a parità di salario. </w:t>
      </w:r>
    </w:p>
    <w:p w14:paraId="2E0647E0"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Gli obiettivi per cui lottare in funzione della liberazione ed emancipazione femminile, richiedono una profonda trasformazione sociale. Essi possono essere così riassunti: </w:t>
      </w:r>
      <w:r>
        <w:rPr>
          <w:rFonts w:ascii="Times New Roman" w:eastAsia="Times New Roman" w:hAnsi="Times New Roman" w:cs="Times New Roman"/>
          <w:b/>
          <w:sz w:val="28"/>
          <w:szCs w:val="28"/>
        </w:rPr>
        <w:t xml:space="preserve">(a) rafforzamento della sanità pubblica (soprattutto preventiva, territoriale e di qualità) con l’incremento dei consultori a tutela della salute non solo riproduttiva delle donne di ogni età anche attraverso la somministrazione gratuita di mezzi contraccettivi e della pillola RU486; </w:t>
      </w:r>
    </w:p>
    <w:p w14:paraId="4200244E"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 xml:space="preserve">(b) abolizione dell’art. 9 della legge 194/1978 relativa all’obiezione di coscienza; </w:t>
      </w:r>
    </w:p>
    <w:p w14:paraId="1A7DAC90"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(c) adeguato finanziamento pubblico dei centri antiviolenza, anche autogestiti;</w:t>
      </w:r>
    </w:p>
    <w:p w14:paraId="6251DD30"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lastRenderedPageBreak/>
        <w:t>(d) diffusione di asili nido e scuole dell’infanzia pubblici a tariffe molto contenute; (e) tutela della maternità per le lavoratrici dipendenti e autonome di ogni settore, e di ogni etnia;</w:t>
      </w:r>
    </w:p>
    <w:p w14:paraId="799F6236"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 xml:space="preserve">(f) congedi parentali uguali per donne e uomini; </w:t>
      </w:r>
    </w:p>
    <w:p w14:paraId="7287A16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 xml:space="preserve">(g) agevolazioni circa l’incentivazione e il sostegno al lavoro dipendente e all’imprenditoria femminile; </w:t>
      </w:r>
    </w:p>
    <w:p w14:paraId="58481348"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 xml:space="preserve">(h) parità retributiva a parità di mansione e qualifica ad ogni livello; </w:t>
      </w:r>
    </w:p>
    <w:p w14:paraId="60189EC6"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(i) “rivoluzione culturale” del sistema educativo-scolastico in merito al ruolo delle donne nella storia e nella società, al fine di superare gli stereotipi di genere abbattendo ogni forma di violenza (educazione sessuale e valorizzazione delle differenze di genere, etnia, classe sociale, orientamento sessuale);</w:t>
      </w:r>
    </w:p>
    <w:p w14:paraId="2B90082B"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(l) presa di coscienza circa le differenze biologiche uomo/donna, affermando una medicina di genere nella prevenzione delle malattie e dei fattori di rischio nei luoghi di lavoro, nelle diagnosi e nelle cure, come previsto dall'art.3 Legge 3/2018;</w:t>
      </w:r>
    </w:p>
    <w:p w14:paraId="4F962539"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 xml:space="preserve">(m) contrasto alla sfruttamento sessuale delle donne e al business dell’utero in affitto. </w:t>
      </w:r>
      <w:r>
        <w:rPr>
          <w:rFonts w:ascii="Times New Roman" w:eastAsia="Times New Roman" w:hAnsi="Times New Roman" w:cs="Times New Roman"/>
          <w:sz w:val="28"/>
          <w:szCs w:val="28"/>
        </w:rPr>
        <w:t xml:space="preserve">In proposito, le donne del Pci ritengono di dover contribuire alla liberazione del genere femminile dal capitalismo e dal patriarcato proponendo -a partire da quelle impegnate a vario titolo nella politica- un’azione tesa a costruire un fronte anticapitalista che aggreghi in lotte unitarie e progressive su obiettivi condivisi e individuati congiuntamente, i partiti della sinistra di classe, i sindacati di base e la Cgil, i movimenti delle donne, il movimento contro il riscaldamento climatico Friday's For Future e la Società della Cura etc., nel rispetto dell’autonomia politico/organizzativa di ciascuno. In questa ottica, occorre dare maggior forza alle donne del Pci attraverso strumenti specifici tra cui l’A.Do.C. (Assemblea nazionale delle Donne Comuniste) quale luogo delle donne, luogo di elaborazione, confronto, discussione, proposta e iniziativa -nel Partito e nella società- su ogni argomento oltre che sulla contraddizione uomo-donna, operando per la formazione sulle questioni di genere soprattutto dei compagni, spingendo per irrobustire un’adesione corale alle lotte delle donne, per affermare la partecipazione delle compagne ai Comitati Federali e Regionali e al Comitato Centrale in misura non inferiore al 50%; prefigurando la presenza di almeno una compagna negli esecutivi di direzione politica a tutti i livelli. “Posare un doppio sguardo di genere sul mondo per poterlo interpretare correttamente e integralmente, per poi agire con efficacia, è per noi la scommessa del XXI secolo, se vogliamo essere comunisti e comuniste”. Lo abbiamo scritto sin dall’Assemblea Costituente di Bologna. E’ giunto il momento di metterlo in pratica, per contribuire a costruire l’alternativa al capitalismo. </w:t>
      </w:r>
    </w:p>
    <w:p w14:paraId="4E1EE01C"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INFRASTRUTTURE – VIABILITA’ – EMERGENZA ABITATIVA</w:t>
      </w:r>
    </w:p>
    <w:p w14:paraId="11887B4D"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lastRenderedPageBreak/>
        <w:t xml:space="preserve">Roma-Latina e Cisterna-Valmontone. Avevamo sperato che la crisi pandemica potesse mettere in discussione un modello di crescita economico e sociale che ha prodotto guasti irreparabili. Avevamo sperato che la tragedia del crollo del Ponte Morandi indirizzasse priorità e risorse alla manutenzione, all’adeguamento e alla messa in sicurezza delle infrastrutture esistenti e non alla costruzione di nuove infrastrutture che distruggono l’ambiente, provocano inquinamento e consumano ulteriore suolo. Avevamo sperato che la bocciatura, da parte della Corte dei Conti Europea, del progetto TAV Torino Lione, insieme ad altri progetti, tra cui il traforo del Brennero, tutti appartenenti al programma TenT, quello dei Corridoi europei, varato circa 30 anni fa insieme al trattato di Maastricht, potesse indirizzare le politiche verso altre soluzioni. Una speranza che prima “Il Piano Colao”, della task force di manager, poi “Il DL semplificazioni”, del Governo PD-M5S, e infine “Il nuovo volto del Lazio? Infrastrutture, cantieri, opere” della Giunta Zingaretti hanno definitivamente cancellata. Ha prevalso la solita logica che riaffiora ogni volta che c’è una crisi. La logica capitalista, che fa della crisi l’occasione per chiedere assistenza alla Stato, la logica che serve per sopravvivere alle crisi in modo da poter porre poi le basi per produrre nuova accumulazione di capitale. La logica del non rispetto delle regole per gli investimenti pubblici. Ancora una volta la miopia politica del PD e dei suoi alleati ha prodotto nel Lazio una risposta inadeguata che non guarda alla collettività ma agli interessi privati di imprese e lobby che non hanno a cuore la salvaguardia ambientale e territoriale, e ci consegna un’idea di ripartenza che sa di vecchio e che colpisce anche il territorio Pontino, con la prospettiva di realizzare collegamenti autostradali a pedaggio, come l’autostrada Roma-Latina e la Bretella Cisterna-Valmontone. Da Comunisti ribadiamo, come facciamo ormai da anni, da quando si parlava di Corridoio Tirrenico Meridionale e dallo Studio di fattibilità della Società Bonifica del 1989, la nostra contrarietà ai progetti infrastrutturali che: - risultano un’opera inutile per le comunità e i territori coinvolti; - non risolvono la crisi industriale del territorio pontino; - avranno pesanti conseguenze dal punto di vista economico e paesaggistico con la distruzione ed espropriazione di aziende agricole con perdita di posti di lavoro; - deturperanno importanti aree di pregio naturalistico e storico-archeologico nonché di interesse comunitario come il Parco regionale di Decima-Malafede, la Riserva Statale del Litorale romano, i Monumenti Naturali di Torrecchia Vecchia e Lago di Giulianello; - aumenteranno l’inquinamento acustico ed atmosferico. Restiamo convinti che l’alternativa era ed </w:t>
      </w:r>
      <w:r>
        <w:rPr>
          <w:rFonts w:ascii="Times New Roman" w:eastAsia="Times New Roman" w:hAnsi="Times New Roman" w:cs="Times New Roman"/>
          <w:b/>
          <w:color w:val="000000"/>
          <w:sz w:val="28"/>
          <w:szCs w:val="28"/>
        </w:rPr>
        <w:t>è una politica di salvaguardia del territorio, a partire dal riassetto idrogeologico, e ripensare il piano complessivo della mobilità che garantirebbe maggiori benefici collettivi, partendo dalla messa in sicurezza del sistema viario esistente, in primis della Pontina; il potenziamento del sistema ferroviario regionale, l’ammodernamento del sistema di trasporto marittimo.</w:t>
      </w:r>
      <w:r>
        <w:rPr>
          <w:rFonts w:ascii="Times New Roman" w:eastAsia="Times New Roman" w:hAnsi="Times New Roman" w:cs="Times New Roman"/>
          <w:color w:val="000000"/>
          <w:sz w:val="28"/>
          <w:szCs w:val="28"/>
        </w:rPr>
        <w:t xml:space="preserve"> Da Comunisti continueremo a lottare per affermare una nuova politica al servizio della collettività e del territorio, privilegiando politiche di pianificazione e prevenzione che ci permettono di risparmiare costi e sprechi di denaro pubblico. Siamo dunque per un processo di rigenerazione urbana, semplificazione e miglioramento della normativa regionale e governo del territorio. Valorizzazione delle aree di pregio in riferimento alle misure </w:t>
      </w:r>
      <w:r>
        <w:rPr>
          <w:rFonts w:ascii="Times New Roman" w:eastAsia="Times New Roman" w:hAnsi="Times New Roman" w:cs="Times New Roman"/>
          <w:color w:val="000000"/>
          <w:sz w:val="28"/>
          <w:szCs w:val="28"/>
        </w:rPr>
        <w:lastRenderedPageBreak/>
        <w:t xml:space="preserve">del PNRR. Parliamo di riqualificazione di aree urbane degradate e di edilizia disorganizzata. Riqualificazione del tessuto edilizio esistente, c’è bisogno di riqualificare edifici a destinazione residenziale e non residenziale. Abbiamo la necessità di avere norme di snellimento e semplificazione delle procedure per garantire tempi certi di attuazione degli interventi. Tutto questo deve essere basato sul rispetto del suolo perché la nostra prospettiva di recupero e rigenerazione offrirebbero lavoro, con vantaggi sociali quindi economici rivolti alla collettività. Le gravi problematiche che attanagliano la capitale e non solo sono state le demolizioni di edifici nei quartieri storici, all’alternare i PTP (piani territoriali paesistici) e PTPR (piani territoriali paesaggistici regionali) all’imponente rischio idrogeologico di tutto il territorio, contrasto all’abusivismo cardini di una sana politica urbanistica. Ci sono poi impianti sportivi in totale degrado ed abbandono dal centro alla periferia, milioni di metri cubi di edifici vuoti nella capitale, e pensarne di nuovi sarebbe un grave errore. In tutto questo il ruolo peggiore lo ha avuto la giunta Zingaretti che non è stata in grado di attuare in maniera puntuale la legge 106/2011. La chiave di volta non può che essere una sola per il futuro dell’urbanistica e cioè quella della rigenerazione del costruito per andare a curare le enormi ferite inferte dal cemento e dal consumo del suolo della capitale. Ci dobbiamo rivolgere alla edilizia sociale o residenziale detto anche Housing sociale, che è una tipologia di intervento immobiliare e urbanistico che garantisce in locazione una soluzione abitativa a persone e nuclei familiari il cui reddito non è sufficiente per acquisto di immobile oppure reddito poco più elevato per accedere alla edilizia popolare. Nella progettazione e programmazione devono essere coinvolti i soggetti pubblici non solo privati. Questo tipo di edilizia residenziale sociale viene utilizzata all’interno della nostra politica fatta di innovazione sociale e diffusione della rete delle “città sane” . In questo ambito si devono trovare spazi per la socialità, condivisione, attuando azioni di riqualificazione urbane e risparmio energetico, coinvolgendo la futura comunità di abitanti dal principio in un percorso di Co-progettazione partecipata, questo per arrivare il più possibile vicino alle esigenze delle persone. La riqualificazione deve essere rivolta ad ottenere edifici ad alta efficienza energetica, come da normativa comunitaria. Oggi ci troviamo di fronte a dover risolvere la grave questione della emergenza abitativa utilizzando i giusti termini però perché oggi non si può più definire emergenza una realtà ormai incancrenita, infatti utilizzare il termine emergenza è sbagliato e fuorviante. Perchè questo l’emergenza fa pensare ad eventi improvvisi e imprevedibili mentre qui siamo di fronte a una sofferenza sociale frutto di politiche strutturali che vanno cambiate, dobbiamo attuare politiche abitative adeguate. Oggi il fenomeno degli sfratti è in costante aumento per le acclarate indisponibilità da parte delle famiglie a pagare i mutui o ottemperare ai contratti di locazione, la mancanza o perdita di lavoro è la prima causa. Mettere a disposizioni differenti tipologia di alloggi sociali sarebbe una soluzione attivando progetti speciali attraverso il coinvolgimento degli enti locali. Il problema Casa è una condizione di grave disagio per le famiglie e le persone tale da mettere a rischio la disponibilità di un posto per dormire e ripararsi. In aggiunta vogliamo parlarvi dei 15 comuni che fanno parte della provincia di Rieti nella Regione Lazio che sono stati colpiti e danneggiati dal </w:t>
      </w:r>
      <w:r>
        <w:rPr>
          <w:rFonts w:ascii="Times New Roman" w:eastAsia="Times New Roman" w:hAnsi="Times New Roman" w:cs="Times New Roman"/>
          <w:color w:val="000000"/>
          <w:sz w:val="28"/>
          <w:szCs w:val="28"/>
        </w:rPr>
        <w:lastRenderedPageBreak/>
        <w:t xml:space="preserve">sisma, a cui spettano gli aiuti e i rimborsi previsti dal Decreto Terremoto. A 6 anni dal sisma della provincia di Rieti dalla regione Lazio sono stati indetti 3 concorsi per la rigenerazione urbana tutti adibiti a spazi pubblici. Le agevolazioni economiche per la ripresa del tessuto produttivo dell’area colpita ancora oggi sono al centro di lungaggini burocratiche che ne ritardano l’attuazione. Sempre a 6 anni dal sisma gli importi calcolati per la ricostruzione sono aumentati a causa del rialzo dei prezzi nell’edilizia vedi conflitto Ucraina Russia e causato anche dal superbonus che di contro ha privato questi cantieri di professionisti ed imprese, quindi ulteriore ritardo nella ricostruzione. Tanto si è fatto però e tanto altro è da fare. Il nostro obiettivo sarebbe di arrivare ad aprire circa 1000 cantieri pubbilici nei prossimi mesi. Un’altro effetto collaterale del sisma è lo spopolamento di professionisti e imprese coinvolti nella ricostruzione, si dovrebbe attuare un’inversione di marcia quindi. </w:t>
      </w:r>
    </w:p>
    <w:p w14:paraId="3BEEE661"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IMMIGRAZIONE</w:t>
      </w:r>
    </w:p>
    <w:p w14:paraId="5708F3EC"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La questione immigrazione nell’ottica dell’unità di classe anticapitalista Le ragioni alla base dei processi migratori che hanno investito ed investono l'occidente, segnatamente l'Europa e con essa, anche e soprattutto per ragioni geografiche, l'Italia, sono note, molteplici, profonde. Esse sono largamente riconducibili alle politiche imperialiste e colonialiste dallo stesso promosse nel tempo, e che in questi anni, in diverse forme, hanno registrato e registrano una sempre più preoccupante riproposizione. Milioni di persone fuggono da guerre, persecuzioni, fame, cercando altrove la risposta al proprio bisogno di futuro. Il capitalismo occidentale, dopo avere promosso tali processi, prosegue la propria politica di sfruttamento collocando gli immigrati nella parte inferiore del mercato del lavoro, usandoli come leva per la messa in discussione di diritti affermatisi nel tempo, fomentando una “guerra tra poveri” funzionale a perpetrare il proprio dominio. Noi operiamo per una ricomposizione degli interessi di classe, tra lavoratori immigrati e non, in direzione della costruzione di un blocco anticapitalista. Il carattere dei processi migratori in atto, a partire dai numeri che lo caratterizzano, non giustifica affatto la posizione di chi, in Europa come in Italia, parla di emergenza, di invasione, etc. Ciò che si evidenzia, qui come altrove, è il tentativo di una destra sempre più reazionaria di cavalcare tale fenomeno, di strumentalizzarlo, ricercando, attraverso parole d'ordine e politiche xenofobe e razziste, un consenso di massa e -di contro- politiche di centrosinistra inadeguate ad affrontarlo. In Italia, con l’attuale governo la situazione non è mutata. L'Unione Europea, per molteplici ragioni, non governa tale processo e si assiste all'innalzamento di muri. Noi siamo contrari a tali politiche, a disconoscere l'apporto positivo dei tanti immigrati che vivono e lavorano in Italia. Siamo contrari alla superficiale separazione che ci viene proposta tra immigrati umanitari ed economici, con questi ultimi semplicemente da cacciare. Noi siamo per garantire adeguatamente i primi, anche attraverso corridoi umanitari, e regolare, attraverso accordi con i Paesi di provenienza, l'accesso solidale e razionale dei secondi. In proposito, siamo contrari agli accordi sottoscritti con la Libia che si configurano a tutti gli effetti come campi di detenzione. Siamo per un diffuso processo di </w:t>
      </w:r>
      <w:r>
        <w:rPr>
          <w:rFonts w:ascii="Times New Roman" w:eastAsia="Times New Roman" w:hAnsi="Times New Roman" w:cs="Times New Roman"/>
          <w:color w:val="000000"/>
          <w:sz w:val="28"/>
          <w:szCs w:val="28"/>
        </w:rPr>
        <w:lastRenderedPageBreak/>
        <w:t xml:space="preserve">accoglienza dei migranti a livello dei diversi paesi europei, attraverso il meccanismo delle quote, ed a livello nazionale, coinvolgendo proporzionalmente tutti i Comuni, ottimizzando l'uso delle risorse. Siamo per un adeguato processo di integrazione, per lo “jus soli”. </w:t>
      </w:r>
    </w:p>
    <w:p w14:paraId="0D829907" w14:textId="77777777" w:rsidR="00446E26" w:rsidRDefault="00446E26">
      <w:pPr>
        <w:spacing w:before="280" w:after="0" w:line="240" w:lineRule="auto"/>
        <w:rPr>
          <w:rFonts w:ascii="Times New Roman" w:eastAsia="Times New Roman" w:hAnsi="Times New Roman" w:cs="Times New Roman"/>
          <w:b/>
          <w:sz w:val="28"/>
          <w:szCs w:val="28"/>
        </w:rPr>
      </w:pPr>
    </w:p>
    <w:p w14:paraId="6635516C" w14:textId="77777777" w:rsidR="00446E26" w:rsidRDefault="00446E26">
      <w:pPr>
        <w:spacing w:before="280" w:after="0" w:line="240" w:lineRule="auto"/>
        <w:rPr>
          <w:rFonts w:ascii="Times New Roman" w:eastAsia="Times New Roman" w:hAnsi="Times New Roman" w:cs="Times New Roman"/>
          <w:b/>
          <w:sz w:val="28"/>
          <w:szCs w:val="28"/>
        </w:rPr>
      </w:pPr>
    </w:p>
    <w:p w14:paraId="268178B3"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sz w:val="28"/>
          <w:szCs w:val="28"/>
        </w:rPr>
        <w:t>WELFARE: QUALITA’ DELLO SVILUPPO E DIRITTI UN BINOMIO INSCINDIBILE</w:t>
      </w:r>
    </w:p>
    <w:p w14:paraId="5000240C"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8"/>
          <w:szCs w:val="28"/>
        </w:rPr>
        <w:t xml:space="preserve">Anche il sistema del welfare italiano, tra le maggiori conquiste dell'Italia repubblicana, è stato e continua ad essere sotto attacco all'insegna della cultura liberista imperante. Le politiche portate avanti dai governi di centrodestra e di centrosinistra che si sono succeduti alla guida del Paese, e che oggi caratterizzano il governo, che di quella cultura è più che mai espressione, sono emblematiche. Esse sono state perseguite in vario modo: attraverso un vero e proprio processo di controriforma dell'assetto legislativo e normativo affermatosi in materia (emblematico il caso della previdenza); con la determinazione delle condizioni per il suo svuotamento, in particolare attraverso la riduzione di questo o quel capitolo di spesa (ad esempio il fondo per le politiche sociali, quello per la non autosufficienza, quello per l'affitto, etc.); con il mantenimento in condizioni di sotto finanziamento strutturale di interi settori (evidente il caso della sanità). Tutto ciò, motivato con la necessità della sostenibilità del sistema, della riduzione della spesa pubblica in funzione della riduzione del debito pubblico, nel frattempo salito progressivamente, per ben altre ragioni, altro non è che il frutto dell’apologia liberista imposta dall'Unione Europea. Ciò a cui abbiamo assistito è una riduzione progressiva della quantità e della qualità dei servizi offerti alla popolazione, l'impoverimento del sistema di protezione sociale. Cosa questo comporti si è reso evidente a fronte della pandemia da Covid-19. Che questo Governo non intenda affatto cambiare rotta è reso evidente dalle insufficienti risposte che lo stesso ha messo in campo, anche attraverso il PNRR per rispondere alla conclamata crisi del SSN, all'assenza di adeguate risposte, in termini di servizi e di sostegni economici, al crescente disagio, alla crescente povertà di ampi strati della popolazione, nonché, emblematicamente, sancendo in questi giorni il ritorno di fatto alla “Legge Fornero” in tema di pensioni, ad una legge che di tali politiche antipopolari rappresenta l’emblema. In relazione a quanto è accaduto, a quanto accade, alle ragioni che ne sono alla base, occorre rimettere al centro lo spirito originario del dettato costituzionale, difendere i principi di universalità, solidarietà, equità che hanno caratterizzato lo sviluppo del welfare italiano. Il problema è politico, le risorse ci sono. Occorre acquisire l'idea di produttività sociale del sistema di welfare, la qualità dello sviluppo ed i diritti vanno assunti come un binomio inscindibile. Il Pci è per una qualificata sanità pubblica, universale, gratuita; per la ridefinizione dell’assetto dei servizi di prevenzione, cura, </w:t>
      </w:r>
      <w:r>
        <w:rPr>
          <w:rFonts w:ascii="Times New Roman" w:eastAsia="Times New Roman" w:hAnsi="Times New Roman" w:cs="Times New Roman"/>
          <w:sz w:val="28"/>
          <w:szCs w:val="28"/>
        </w:rPr>
        <w:lastRenderedPageBreak/>
        <w:t xml:space="preserve">riabilitazione ospedalieri e territoriali, per una diffusa rete di servizi sociali e socio-sanitari rivolta agli anziani, ai disabili, a tutti coloro che vivono condizioni di difficoltà; per un piano straordinario di edilizia popolare basato soprattutto sul recupero e la qualificazione del patrimonio edilizio esistente, per un adeguato sostegno all’affitto; </w:t>
      </w:r>
      <w:r>
        <w:rPr>
          <w:rFonts w:ascii="Times New Roman" w:eastAsia="Times New Roman" w:hAnsi="Times New Roman" w:cs="Times New Roman"/>
          <w:b/>
          <w:sz w:val="28"/>
          <w:szCs w:val="28"/>
        </w:rPr>
        <w:t xml:space="preserve">per il superamento della “Legge Fornero”, attraverso il ritorno alla normativa precedente, debitamente integrata in relazione ai cosiddetti lavori usuranti, per uniformare la contribuzione ai fini previdenziali delle diverse tipologie di rapporto di lavoro, per separare nettamente la previdenza dall’assistenza, per il superamento della frammentazione delle diverse casse previdenziali vigenti, per portare le pensioni minime a 1000 euro al mese. </w:t>
      </w:r>
    </w:p>
    <w:p w14:paraId="3073C2F7" w14:textId="77777777" w:rsidR="00446E26" w:rsidRDefault="00446E26">
      <w:pPr>
        <w:spacing w:before="280" w:after="0" w:line="240" w:lineRule="auto"/>
        <w:rPr>
          <w:rFonts w:ascii="Times New Roman" w:eastAsia="Times New Roman" w:hAnsi="Times New Roman" w:cs="Times New Roman"/>
          <w:sz w:val="24"/>
          <w:szCs w:val="24"/>
        </w:rPr>
      </w:pPr>
    </w:p>
    <w:p w14:paraId="640B5911"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DISABILITA’</w:t>
      </w:r>
    </w:p>
    <w:p w14:paraId="2264CB20"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Oggi dobbiamo assumerci la colpa in termini sociologici di aver sempre posto poca attenzione alle condizioni di vita del soggetto colpito da disabilità. Costruire una precisa identità delle persone disabili è essenziale nella famiglia, scuola, e media. Si devono attuare dinamiche come la socializzazione primaria che avviene attraverso le mura domestiche ed è questo il primo percorso virtuoso di cui le istituzioni si dovrebbero far carico, quindi attraverso cosa: il parent training necessario ad aiutare i genitori e familiari in generale a far diventare indipendente e/o autosufficente il disabile in alcune situazioni, assegnandogli una serie di competenze necessarie alla convivenza, attraverso anche l’ausilio e supporto delle ASL e associazioni. La socializzazione secondaria (attuazione della legge 104/92) invece rappresenta lo step in cui il disabile entra nell’ambiente scolastico, qui la sinergia educativa deve dirigersi verso un orizzonte di sviluppo dl disabile, lavorando a stretto contatto con persone diverse dai familiari. Quindi il nostro obiettivo sarebbe quello che attraverso percorsi di formazione specifici si possa essere una vera integrazione, utilizzando ad esempio altri canali comunicativi, con l’utilizzo di codici linguistici diversi da quello verbale. In questo la scuola ed con le istituzioni gioca un ruolo primario e la nostra politica è quella di vigilare che questo venga attuato. Anche i media se stimolati potrebbero progettare format e programmi di intrattenimento specifici per i disabili. Il tutto in attesa che ogni città si liberi definitivamente delle barriere architettoniche perché limitano una vita che potrebbe essere vissuta in termini di socialità pienamente. Intendiamo dare particolare rilievo all’inserimento lavorativo con la messa e regime ed attuazione della legge 68/99. </w:t>
      </w:r>
    </w:p>
    <w:p w14:paraId="0FD15E53"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La disabilità è la condizione di chi, in seguito a una o più menomazioni, ha una ridotta capacità d'interazione con l'ambiente sociale rispetto a ciò che è considerata la </w:t>
      </w:r>
      <w:r>
        <w:rPr>
          <w:rFonts w:ascii="Times New Roman" w:eastAsia="Times New Roman" w:hAnsi="Times New Roman" w:cs="Times New Roman"/>
          <w:color w:val="000000"/>
          <w:sz w:val="28"/>
          <w:szCs w:val="28"/>
        </w:rPr>
        <w:lastRenderedPageBreak/>
        <w:t>norma, pertanto è meno autonomo nello svolgere le attività quotidiane e spesso in condizioni di svantaggio nel partecipare alla vita sociale.</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8"/>
          <w:szCs w:val="28"/>
        </w:rPr>
        <w:t xml:space="preserve">Si preferisce adoperare termini come attività, partecipazione, funzionamento e non vengono più utilizzate le parole menomazione, disabilità, handicap, questa innovazione linguistico/terminologica indotta dalla nuova classificazione, in apparenza ininfluente o poco importante, assume invece un rilievo straordinario in quanto porta a definire le nostre abilità e il funzionamento del nostro corpo non in relazione a un generico cosa siamo in grado di fare/non fare, ma in relazione a una specifica e distinta attività da svolgere in un dato momento e in un determinato contesto ambientale e relazionale. </w:t>
      </w:r>
    </w:p>
    <w:p w14:paraId="6E1C4581"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La disabilità minorile</w:t>
      </w:r>
    </w:p>
    <w:p w14:paraId="4DA35E46"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 xml:space="preserve">Nonostante l'impegno e i passi in avanti compiuti, ancora oggi rimangono lacune informative di non poco conto sulla diffusione dei dati inerenti alla disabilità e in particolare alla disabilità minorile. Queste lacune sono legate sia alla mancanza di strumenti statistici capaci di andare oltre l'aspetto puramente sanitario sia all'assenza di indicatori in grado di cogliere in modo efficace e adeguato il fenomeno della disabilità. Nella raccolta dei dati statistici e nel processo di presa in carico e inclusione del minore con disabilità la scuola al fianco delle famiglie occupa un ruolo di primo piano. In base ai più </w:t>
      </w:r>
      <w:hyperlink r:id="rId6">
        <w:r>
          <w:rPr>
            <w:rFonts w:ascii="Times New Roman" w:eastAsia="Times New Roman" w:hAnsi="Times New Roman" w:cs="Times New Roman"/>
            <w:color w:val="000000"/>
            <w:sz w:val="28"/>
            <w:szCs w:val="28"/>
            <w:u w:val="single"/>
          </w:rPr>
          <w:t>recenti dati ISTAT</w:t>
        </w:r>
      </w:hyperlink>
      <w:r>
        <w:rPr>
          <w:rFonts w:ascii="Times New Roman" w:eastAsia="Times New Roman" w:hAnsi="Times New Roman" w:cs="Times New Roman"/>
          <w:color w:val="000000"/>
          <w:sz w:val="28"/>
          <w:szCs w:val="28"/>
        </w:rPr>
        <w:t>, in Italia sono 2 milioni e 600 mila le persone con disabilità con più di 6 anni di età che vivono in famiglia, a queste se ne aggiungono altre 190 mila che vivono in istituto, quindi quasi 3 milioni di persone, il 5 % della popolazione italiana risultano disabili. Sono inoltre ancora troppe le barriere presenti nelle scuole italiane: solamente 1 scuola su 3 risulta accessibile dal punto di vista delle barriere fisiche. Quanto alle barriere senso-percettive: appena il 2% delle scuole dispone di tutti gli ausili senso-percettivi e solo il 18% delle scuole dispone di almeno un ausilio (MIUR).</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8"/>
          <w:szCs w:val="28"/>
        </w:rPr>
        <w:t>L’attivazione della DAD, resa obbligatoria a partire dal 9 aprile 2020 per far fronte all’emergenza sanitaria da Covid-19, ha reso più complesso un processo delicato come quello dell’inclusione scolastica degli alunni con disabilità. I livelli di partecipazione sono diminuiti sensibilmente: tra aprile e giugno 2020 oltre il 23% degli alunni con disabilità (circa 70 mila) non ha preso parte alle lezioni quota che cresce nelle regioni del Mezzogiorno dove si attesta al 29%.</w:t>
      </w:r>
    </w:p>
    <w:p w14:paraId="0F647960"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La</w:t>
      </w:r>
      <w:r>
        <w:rPr>
          <w:rFonts w:ascii="Times New Roman" w:eastAsia="Times New Roman" w:hAnsi="Times New Roman" w:cs="Times New Roman"/>
          <w:b/>
          <w:color w:val="000000"/>
          <w:sz w:val="28"/>
          <w:szCs w:val="28"/>
        </w:rPr>
        <w:t xml:space="preserve"> </w:t>
      </w:r>
      <w:hyperlink r:id="rId7">
        <w:r>
          <w:rPr>
            <w:rFonts w:ascii="Times New Roman" w:eastAsia="Times New Roman" w:hAnsi="Times New Roman" w:cs="Times New Roman"/>
            <w:b/>
            <w:color w:val="000000"/>
            <w:sz w:val="28"/>
            <w:szCs w:val="28"/>
            <w:u w:val="single"/>
          </w:rPr>
          <w:t>Convenzione sui diritti dell’infanzia e dell’adolescenza</w:t>
        </w:r>
      </w:hyperlink>
      <w:r>
        <w:rPr>
          <w:rFonts w:ascii="Times New Roman" w:eastAsia="Times New Roman" w:hAnsi="Times New Roman" w:cs="Times New Roman"/>
          <w:color w:val="000000"/>
          <w:sz w:val="28"/>
          <w:szCs w:val="28"/>
        </w:rPr>
        <w:t xml:space="preserve"> è il primo strumento internazionale sui diritti umani che approfondisce il tema della discriminazione sulla base della disabilità, affermando che tutti i bambini devono poter godere di tutti i diritti enunciati dalla Convenzione: ai bambini con disabilità va dunque garantito un sostegno particolare in tal senso e un trattamento egualitario rispetto all’accesso ai servizi, in un’ottica di piena inclusione sociale e di pari opportunità relativamente allo sviluppo delle capacità di ciascuno.</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8"/>
          <w:szCs w:val="28"/>
        </w:rPr>
        <w:t>Sulla disabilità è guidato da un approccio basato sui diritti umani, sull’equità e il raggiungimento dei gruppi di individui più vulnerabili.</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8"/>
          <w:szCs w:val="28"/>
        </w:rPr>
        <w:t xml:space="preserve">Su questo approccio, incentrato sul rispetto dei diritti umani e la piena </w:t>
      </w:r>
      <w:r>
        <w:rPr>
          <w:rFonts w:ascii="Times New Roman" w:eastAsia="Times New Roman" w:hAnsi="Times New Roman" w:cs="Times New Roman"/>
          <w:color w:val="000000"/>
          <w:sz w:val="28"/>
          <w:szCs w:val="28"/>
        </w:rPr>
        <w:lastRenderedPageBreak/>
        <w:t xml:space="preserve">inclusione di ogni bambino si basa anche la </w:t>
      </w:r>
      <w:r>
        <w:rPr>
          <w:rFonts w:ascii="Times New Roman" w:eastAsia="Times New Roman" w:hAnsi="Times New Roman" w:cs="Times New Roman"/>
          <w:b/>
          <w:color w:val="000000"/>
          <w:sz w:val="28"/>
          <w:szCs w:val="28"/>
        </w:rPr>
        <w:t>Convenzione sui diritti delle persone con disabilità</w:t>
      </w:r>
      <w:r>
        <w:rPr>
          <w:rFonts w:ascii="Times New Roman" w:eastAsia="Times New Roman" w:hAnsi="Times New Roman" w:cs="Times New Roman"/>
          <w:color w:val="000000"/>
          <w:sz w:val="28"/>
          <w:szCs w:val="28"/>
        </w:rPr>
        <w:t>, adottata dalle Nazioni Unite nel 2006: essa è dedicata ai diritti specifici delle persone con disabilità, rafforzando ulteriormente quanto già previsto nella Convenzione sui diritti dell’infanzia e dell’adolescenza. In Italia la legge n° 104 del 5 febbraio 1992 riconosce e tutela la partecipazione alla vita sociale e culturale delle persone con disabilità. La legge regola e sostiene anche nel percorso scolastico, i diritti e i bisogni del bambino e della sua famiglia.</w:t>
      </w:r>
    </w:p>
    <w:p w14:paraId="1C911877"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Osservazioni conclusive per l’ applicazione di politiche specifiche per la disabilità minorile</w:t>
      </w:r>
      <w:r>
        <w:rPr>
          <w:rFonts w:ascii="Times New Roman" w:eastAsia="Times New Roman" w:hAnsi="Times New Roman" w:cs="Times New Roman"/>
          <w:color w:val="000000"/>
          <w:sz w:val="28"/>
          <w:szCs w:val="28"/>
        </w:rPr>
        <w:t>:</w:t>
      </w:r>
    </w:p>
    <w:p w14:paraId="056456BD" w14:textId="77777777" w:rsidR="00446E26" w:rsidRDefault="00000000">
      <w:pPr>
        <w:numPr>
          <w:ilvl w:val="0"/>
          <w:numId w:val="1"/>
        </w:numPr>
        <w:spacing w:before="280" w:after="0"/>
      </w:pPr>
      <w:r>
        <w:rPr>
          <w:rFonts w:ascii="Times New Roman" w:eastAsia="Times New Roman" w:hAnsi="Times New Roman" w:cs="Times New Roman"/>
          <w:color w:val="000000"/>
          <w:sz w:val="28"/>
          <w:szCs w:val="28"/>
        </w:rPr>
        <w:t>delineare una strategia onnicomprensiva sull’inclusione dei minorenni con disabilità;</w:t>
      </w:r>
    </w:p>
    <w:p w14:paraId="75604B67" w14:textId="77777777" w:rsidR="00446E26" w:rsidRDefault="00000000">
      <w:pPr>
        <w:numPr>
          <w:ilvl w:val="0"/>
          <w:numId w:val="1"/>
        </w:numPr>
        <w:spacing w:after="0"/>
      </w:pPr>
      <w:r>
        <w:rPr>
          <w:rFonts w:ascii="Times New Roman" w:eastAsia="Times New Roman" w:hAnsi="Times New Roman" w:cs="Times New Roman"/>
          <w:color w:val="000000"/>
          <w:sz w:val="28"/>
          <w:szCs w:val="28"/>
        </w:rPr>
        <w:t>migliorare la raccolta dati sui minorenni con disabilità;</w:t>
      </w:r>
    </w:p>
    <w:p w14:paraId="0A3997D8" w14:textId="77777777" w:rsidR="00446E26" w:rsidRDefault="00000000">
      <w:pPr>
        <w:numPr>
          <w:ilvl w:val="0"/>
          <w:numId w:val="1"/>
        </w:numPr>
        <w:spacing w:after="0"/>
      </w:pPr>
      <w:r>
        <w:rPr>
          <w:rFonts w:ascii="Times New Roman" w:eastAsia="Times New Roman" w:hAnsi="Times New Roman" w:cs="Times New Roman"/>
          <w:color w:val="000000"/>
          <w:sz w:val="28"/>
          <w:szCs w:val="28"/>
        </w:rPr>
        <w:t>sviluppare un sistema efficiente per la diagnosi precoce delle disabilità;</w:t>
      </w:r>
    </w:p>
    <w:p w14:paraId="5E8302D2" w14:textId="77777777" w:rsidR="00446E26" w:rsidRDefault="00000000">
      <w:pPr>
        <w:numPr>
          <w:ilvl w:val="0"/>
          <w:numId w:val="1"/>
        </w:numPr>
        <w:spacing w:after="0"/>
      </w:pPr>
      <w:r>
        <w:rPr>
          <w:rFonts w:ascii="Times New Roman" w:eastAsia="Times New Roman" w:hAnsi="Times New Roman" w:cs="Times New Roman"/>
          <w:color w:val="000000"/>
          <w:sz w:val="28"/>
          <w:szCs w:val="28"/>
        </w:rPr>
        <w:t>adottare standard nazionali minimi sull’educazione della prima infanzia appropriati ai bisogni specifici dei minorenni con disabilità;</w:t>
      </w:r>
    </w:p>
    <w:p w14:paraId="63102BD2" w14:textId="77777777" w:rsidR="00446E26" w:rsidRDefault="00000000">
      <w:pPr>
        <w:numPr>
          <w:ilvl w:val="0"/>
          <w:numId w:val="1"/>
        </w:numPr>
        <w:spacing w:after="0"/>
      </w:pPr>
      <w:r>
        <w:rPr>
          <w:rFonts w:ascii="Times New Roman" w:eastAsia="Times New Roman" w:hAnsi="Times New Roman" w:cs="Times New Roman"/>
          <w:color w:val="000000"/>
          <w:sz w:val="28"/>
          <w:szCs w:val="28"/>
        </w:rPr>
        <w:t>fornire adeguato sostegno ai minorenni con difficoltà di apprendimento formando insegnanti e professionisti specializzati;</w:t>
      </w:r>
    </w:p>
    <w:p w14:paraId="7E6E08F4" w14:textId="77777777" w:rsidR="00446E26" w:rsidRDefault="00000000">
      <w:pPr>
        <w:numPr>
          <w:ilvl w:val="0"/>
          <w:numId w:val="1"/>
        </w:numPr>
        <w:spacing w:after="0"/>
      </w:pPr>
      <w:r>
        <w:rPr>
          <w:rFonts w:ascii="Times New Roman" w:eastAsia="Times New Roman" w:hAnsi="Times New Roman" w:cs="Times New Roman"/>
          <w:color w:val="000000"/>
          <w:sz w:val="28"/>
          <w:szCs w:val="28"/>
        </w:rPr>
        <w:t>intraprendere campagne di sensibilizzazione per contrastare i pregiudizi nei confronti dei minorenni con disabilità;</w:t>
      </w:r>
    </w:p>
    <w:p w14:paraId="5E5A6788" w14:textId="77777777" w:rsidR="00446E26" w:rsidRDefault="00000000">
      <w:pPr>
        <w:numPr>
          <w:ilvl w:val="0"/>
          <w:numId w:val="1"/>
        </w:numPr>
        <w:spacing w:after="0"/>
      </w:pPr>
      <w:r>
        <w:rPr>
          <w:rFonts w:ascii="Times New Roman" w:eastAsia="Times New Roman" w:hAnsi="Times New Roman" w:cs="Times New Roman"/>
          <w:color w:val="000000"/>
          <w:sz w:val="28"/>
          <w:szCs w:val="28"/>
        </w:rPr>
        <w:t xml:space="preserve">affrontare le esigenze specifiche dei minorenni con disturbi dello spettro autistico. </w:t>
      </w:r>
    </w:p>
    <w:p w14:paraId="4D42C604" w14:textId="77777777" w:rsidR="00446E26" w:rsidRDefault="00000000">
      <w:pPr>
        <w:spacing w:before="280" w:after="0" w:line="240" w:lineRule="auto"/>
        <w:rPr>
          <w:rFonts w:ascii="Times New Roman" w:eastAsia="Times New Roman" w:hAnsi="Times New Roman" w:cs="Times New Roman"/>
          <w:sz w:val="24"/>
          <w:szCs w:val="24"/>
        </w:rPr>
      </w:pPr>
      <w:r>
        <w:rPr>
          <w:rFonts w:ascii="Times New Roman" w:eastAsia="Times New Roman" w:hAnsi="Times New Roman" w:cs="Times New Roman"/>
          <w:b/>
          <w:color w:val="000000"/>
          <w:sz w:val="28"/>
          <w:szCs w:val="28"/>
        </w:rPr>
        <w:t>La disabilità nella società di oggi</w:t>
      </w:r>
    </w:p>
    <w:p w14:paraId="15B359BA" w14:textId="77777777" w:rsidR="00446E26" w:rsidRDefault="00000000">
      <w:pPr>
        <w:spacing w:before="280" w:after="142"/>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I bambini e gli adolescenti con disabilità sono troppo spesso invisibili nelle politiche, nelle statistiche e nelle società, e questo può ostacolare l’attuazione degli interventi e l’allocazione delle risorse. La discriminazione è uno degli ostacoli maggiori che questi minorenni devono fronteggiare: uno degli effetti della discriminazione è quello di ostacolare la piena e paritaria accessibilità ai servizi di base e alle più diverse attività (dall’istruzione, alla sanità, dai trasporti, allo sport, così come l’accesso alle informazioni).</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8"/>
          <w:szCs w:val="28"/>
        </w:rPr>
        <w:t>In particolare, il diritto all’istruzione enunciato nella Convenzione va al di là dell’istruzione meramente formale, fino a includere la vasta gamma di esperienze di vita e processi di apprendimento che permettono al bambino, individualmente e collettivamente, di sviluppare la propria personalità, le proprie capacità e le proprie attitudini e di vivere una vita piena e soddisfacente all’interno della società: è per questo che la promozione e l’attuazione dell’inclusione vanno attraverso il diritto all’istruzione.</w:t>
      </w:r>
    </w:p>
    <w:p w14:paraId="1C85F8FB" w14:textId="77777777" w:rsidR="00446E26" w:rsidRDefault="00000000">
      <w:pPr>
        <w:keepNext/>
        <w:spacing w:after="0" w:line="240" w:lineRule="auto"/>
        <w:rPr>
          <w:rFonts w:ascii="Times New Roman" w:eastAsia="Times New Roman" w:hAnsi="Times New Roman" w:cs="Times New Roman"/>
          <w:b/>
          <w:sz w:val="36"/>
          <w:szCs w:val="36"/>
        </w:rPr>
      </w:pPr>
      <w:r>
        <w:rPr>
          <w:rFonts w:ascii="Times New Roman" w:eastAsia="Times New Roman" w:hAnsi="Times New Roman" w:cs="Times New Roman"/>
          <w:b/>
          <w:color w:val="000000"/>
          <w:sz w:val="28"/>
          <w:szCs w:val="28"/>
        </w:rPr>
        <w:lastRenderedPageBreak/>
        <w:t>Il ruolo dello Sport</w:t>
      </w:r>
    </w:p>
    <w:p w14:paraId="5AAD88CD"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Lo sport è uno strumento potente ai fini della promozione dell’eguaglianza e dell’inclusione, poiché promuove l’amicizia, la solidarietà, il rispetto delle regole, il gioco di squadra, la disciplina, la fiducia, il rispetto del prossimo e aiuta a migliorare le capacità relazionali.</w:t>
      </w:r>
    </w:p>
    <w:p w14:paraId="4E661596" w14:textId="77777777" w:rsidR="00446E26" w:rsidRDefault="00000000">
      <w:pPr>
        <w:spacing w:before="280" w:after="0"/>
        <w:rPr>
          <w:rFonts w:ascii="Times New Roman" w:eastAsia="Times New Roman" w:hAnsi="Times New Roman" w:cs="Times New Roman"/>
          <w:sz w:val="24"/>
          <w:szCs w:val="24"/>
        </w:rPr>
      </w:pPr>
      <w:r>
        <w:rPr>
          <w:rFonts w:ascii="Times New Roman" w:eastAsia="Times New Roman" w:hAnsi="Times New Roman" w:cs="Times New Roman"/>
          <w:color w:val="000000"/>
          <w:sz w:val="28"/>
          <w:szCs w:val="28"/>
        </w:rPr>
        <w:t>Lo sport è un linguaggio universale che può fare da ponte tra le diversità è uno strumento per stemperare le tensioni e favorire il dialogo: sul terreno di gioco le differenze non dividono, avvicinano e i bambini imparano che il confronto può avvenire su un piano di parità.</w:t>
      </w:r>
      <w:r>
        <w:rPr>
          <w:rFonts w:ascii="Times New Roman" w:eastAsia="Times New Roman" w:hAnsi="Times New Roman" w:cs="Times New Roman"/>
          <w:sz w:val="24"/>
          <w:szCs w:val="24"/>
        </w:rPr>
        <w:t xml:space="preserve"> </w:t>
      </w:r>
      <w:r>
        <w:rPr>
          <w:rFonts w:ascii="Times New Roman" w:eastAsia="Times New Roman" w:hAnsi="Times New Roman" w:cs="Times New Roman"/>
          <w:color w:val="000000"/>
          <w:sz w:val="28"/>
          <w:szCs w:val="28"/>
        </w:rPr>
        <w:t>Per questi motivi che si sta' introducendo il potenziale dello sport, del gioco e delle attività ricreative all’interno delle attività di sensibilizzazione di vari organismi ampiamente strutturati.</w:t>
      </w:r>
    </w:p>
    <w:p w14:paraId="3D56F1A9" w14:textId="77777777" w:rsidR="00446E26" w:rsidRDefault="00446E26">
      <w:pPr>
        <w:spacing w:before="280" w:after="0"/>
        <w:rPr>
          <w:rFonts w:ascii="Times New Roman" w:eastAsia="Times New Roman" w:hAnsi="Times New Roman" w:cs="Times New Roman"/>
          <w:sz w:val="24"/>
          <w:szCs w:val="24"/>
        </w:rPr>
      </w:pPr>
    </w:p>
    <w:p w14:paraId="4B81B5E3" w14:textId="77777777" w:rsidR="00446E26" w:rsidRDefault="00446E26">
      <w:pPr>
        <w:spacing w:before="280" w:after="0"/>
        <w:rPr>
          <w:rFonts w:ascii="Times New Roman" w:eastAsia="Times New Roman" w:hAnsi="Times New Roman" w:cs="Times New Roman"/>
          <w:sz w:val="24"/>
          <w:szCs w:val="24"/>
        </w:rPr>
      </w:pPr>
    </w:p>
    <w:p w14:paraId="4A2BA8F8" w14:textId="77777777" w:rsidR="00446E26" w:rsidRDefault="00446E26">
      <w:pPr>
        <w:spacing w:before="280" w:after="0"/>
        <w:rPr>
          <w:rFonts w:ascii="Times New Roman" w:eastAsia="Times New Roman" w:hAnsi="Times New Roman" w:cs="Times New Roman"/>
          <w:sz w:val="24"/>
          <w:szCs w:val="24"/>
        </w:rPr>
      </w:pPr>
    </w:p>
    <w:p w14:paraId="07FE1454" w14:textId="77777777" w:rsidR="00446E26" w:rsidRDefault="00446E26"/>
    <w:sectPr w:rsidR="00446E26">
      <w:pgSz w:w="11906" w:h="16838"/>
      <w:pgMar w:top="1417" w:right="1134" w:bottom="1134" w:left="1134" w:header="708" w:footer="708" w:gutter="0"/>
      <w:pgNumType w:start="1"/>
      <w:cols w:space="72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Noto Sans Symbols">
    <w:altName w:val="Calibri"/>
    <w:panose1 w:val="020B0604020202020204"/>
    <w:charset w:val="00"/>
    <w:family w:val="auto"/>
    <w:pitch w:val="default"/>
  </w:font>
  <w:font w:name="Courier New">
    <w:panose1 w:val="02070309020205020404"/>
    <w:charset w:val="00"/>
    <w:family w:val="modern"/>
    <w:pitch w:val="fixed"/>
    <w:sig w:usb0="E0002AFF" w:usb1="C0007843" w:usb2="00000009" w:usb3="00000000" w:csb0="000001FF" w:csb1="00000000"/>
  </w:font>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Bodoni">
    <w:panose1 w:val="00000400000000000000"/>
    <w:charset w:val="00"/>
    <w:family w:val="auto"/>
    <w:pitch w:val="variable"/>
    <w:sig w:usb0="00000003" w:usb1="00000000" w:usb2="00000000" w:usb3="00000000" w:csb0="00000001"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7B3B66CE"/>
    <w:multiLevelType w:val="multilevel"/>
    <w:tmpl w:val="5D4E1778"/>
    <w:lvl w:ilvl="0">
      <w:start w:val="1"/>
      <w:numFmt w:val="bullet"/>
      <w:lvlText w:val="●"/>
      <w:lvlJc w:val="left"/>
      <w:pPr>
        <w:ind w:left="720" w:hanging="360"/>
      </w:pPr>
      <w:rPr>
        <w:rFonts w:ascii="Noto Sans Symbols" w:eastAsia="Noto Sans Symbols" w:hAnsi="Noto Sans Symbols" w:cs="Noto Sans Symbols"/>
        <w:sz w:val="20"/>
        <w:szCs w:val="20"/>
      </w:rPr>
    </w:lvl>
    <w:lvl w:ilvl="1">
      <w:start w:val="1"/>
      <w:numFmt w:val="bullet"/>
      <w:lvlText w:val="o"/>
      <w:lvlJc w:val="left"/>
      <w:pPr>
        <w:ind w:left="1440" w:hanging="360"/>
      </w:pPr>
      <w:rPr>
        <w:rFonts w:ascii="Courier New" w:eastAsia="Courier New" w:hAnsi="Courier New" w:cs="Courier New"/>
        <w:sz w:val="20"/>
        <w:szCs w:val="20"/>
      </w:rPr>
    </w:lvl>
    <w:lvl w:ilvl="2">
      <w:start w:val="1"/>
      <w:numFmt w:val="bullet"/>
      <w:lvlText w:val="▪"/>
      <w:lvlJc w:val="left"/>
      <w:pPr>
        <w:ind w:left="2160" w:hanging="360"/>
      </w:pPr>
      <w:rPr>
        <w:rFonts w:ascii="Noto Sans Symbols" w:eastAsia="Noto Sans Symbols" w:hAnsi="Noto Sans Symbols" w:cs="Noto Sans Symbols"/>
        <w:sz w:val="20"/>
        <w:szCs w:val="20"/>
      </w:rPr>
    </w:lvl>
    <w:lvl w:ilvl="3">
      <w:start w:val="1"/>
      <w:numFmt w:val="bullet"/>
      <w:lvlText w:val="▪"/>
      <w:lvlJc w:val="left"/>
      <w:pPr>
        <w:ind w:left="2880" w:hanging="360"/>
      </w:pPr>
      <w:rPr>
        <w:rFonts w:ascii="Noto Sans Symbols" w:eastAsia="Noto Sans Symbols" w:hAnsi="Noto Sans Symbols" w:cs="Noto Sans Symbols"/>
        <w:sz w:val="20"/>
        <w:szCs w:val="20"/>
      </w:rPr>
    </w:lvl>
    <w:lvl w:ilvl="4">
      <w:start w:val="1"/>
      <w:numFmt w:val="bullet"/>
      <w:lvlText w:val="▪"/>
      <w:lvlJc w:val="left"/>
      <w:pPr>
        <w:ind w:left="3600" w:hanging="360"/>
      </w:pPr>
      <w:rPr>
        <w:rFonts w:ascii="Noto Sans Symbols" w:eastAsia="Noto Sans Symbols" w:hAnsi="Noto Sans Symbols" w:cs="Noto Sans Symbols"/>
        <w:sz w:val="20"/>
        <w:szCs w:val="20"/>
      </w:rPr>
    </w:lvl>
    <w:lvl w:ilvl="5">
      <w:start w:val="1"/>
      <w:numFmt w:val="bullet"/>
      <w:lvlText w:val="▪"/>
      <w:lvlJc w:val="left"/>
      <w:pPr>
        <w:ind w:left="4320" w:hanging="360"/>
      </w:pPr>
      <w:rPr>
        <w:rFonts w:ascii="Noto Sans Symbols" w:eastAsia="Noto Sans Symbols" w:hAnsi="Noto Sans Symbols" w:cs="Noto Sans Symbols"/>
        <w:sz w:val="20"/>
        <w:szCs w:val="20"/>
      </w:rPr>
    </w:lvl>
    <w:lvl w:ilvl="6">
      <w:start w:val="1"/>
      <w:numFmt w:val="bullet"/>
      <w:lvlText w:val="▪"/>
      <w:lvlJc w:val="left"/>
      <w:pPr>
        <w:ind w:left="5040" w:hanging="360"/>
      </w:pPr>
      <w:rPr>
        <w:rFonts w:ascii="Noto Sans Symbols" w:eastAsia="Noto Sans Symbols" w:hAnsi="Noto Sans Symbols" w:cs="Noto Sans Symbols"/>
        <w:sz w:val="20"/>
        <w:szCs w:val="20"/>
      </w:rPr>
    </w:lvl>
    <w:lvl w:ilvl="7">
      <w:start w:val="1"/>
      <w:numFmt w:val="bullet"/>
      <w:lvlText w:val="▪"/>
      <w:lvlJc w:val="left"/>
      <w:pPr>
        <w:ind w:left="5760" w:hanging="360"/>
      </w:pPr>
      <w:rPr>
        <w:rFonts w:ascii="Noto Sans Symbols" w:eastAsia="Noto Sans Symbols" w:hAnsi="Noto Sans Symbols" w:cs="Noto Sans Symbols"/>
        <w:sz w:val="20"/>
        <w:szCs w:val="20"/>
      </w:rPr>
    </w:lvl>
    <w:lvl w:ilvl="8">
      <w:start w:val="1"/>
      <w:numFmt w:val="bullet"/>
      <w:lvlText w:val="▪"/>
      <w:lvlJc w:val="left"/>
      <w:pPr>
        <w:ind w:left="6480" w:hanging="360"/>
      </w:pPr>
      <w:rPr>
        <w:rFonts w:ascii="Noto Sans Symbols" w:eastAsia="Noto Sans Symbols" w:hAnsi="Noto Sans Symbols" w:cs="Noto Sans Symbols"/>
        <w:sz w:val="20"/>
        <w:szCs w:val="20"/>
      </w:rPr>
    </w:lvl>
  </w:abstractNum>
  <w:num w:numId="1" w16cid:durableId="341392640">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5"/>
  <w:defaultTabStop w:val="720"/>
  <w:hyphenationZone w:val="283"/>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46E26"/>
    <w:rsid w:val="00446E26"/>
    <w:rsid w:val="00AC41AC"/>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ecimalSymbol w:val=","/>
  <w:listSeparator w:val=";"/>
  <w14:docId w14:val="21476F26"/>
  <w15:docId w15:val="{76A91AD5-1DED-7C46-ADC4-C672869E42A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Calibri"/>
        <w:sz w:val="22"/>
        <w:szCs w:val="22"/>
        <w:lang w:val="it-IT" w:eastAsia="it-IT"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paragraph" w:styleId="Titolo1">
    <w:name w:val="heading 1"/>
    <w:basedOn w:val="Normale"/>
    <w:next w:val="Normale"/>
    <w:uiPriority w:val="9"/>
    <w:qFormat/>
    <w:pPr>
      <w:keepNext/>
      <w:keepLines/>
      <w:spacing w:before="480" w:after="120"/>
      <w:outlineLvl w:val="0"/>
    </w:pPr>
    <w:rPr>
      <w:b/>
      <w:sz w:val="48"/>
      <w:szCs w:val="48"/>
    </w:rPr>
  </w:style>
  <w:style w:type="paragraph" w:styleId="Titolo2">
    <w:name w:val="heading 2"/>
    <w:basedOn w:val="Normale"/>
    <w:next w:val="Normale"/>
    <w:uiPriority w:val="9"/>
    <w:semiHidden/>
    <w:unhideWhenUsed/>
    <w:qFormat/>
    <w:pPr>
      <w:keepNext/>
      <w:keepLines/>
      <w:spacing w:before="360" w:after="80"/>
      <w:outlineLvl w:val="1"/>
    </w:pPr>
    <w:rPr>
      <w:b/>
      <w:sz w:val="36"/>
      <w:szCs w:val="36"/>
    </w:rPr>
  </w:style>
  <w:style w:type="paragraph" w:styleId="Titolo3">
    <w:name w:val="heading 3"/>
    <w:basedOn w:val="Normale"/>
    <w:next w:val="Normale"/>
    <w:uiPriority w:val="9"/>
    <w:semiHidden/>
    <w:unhideWhenUsed/>
    <w:qFormat/>
    <w:pPr>
      <w:keepNext/>
      <w:keepLines/>
      <w:spacing w:before="280" w:after="80"/>
      <w:outlineLvl w:val="2"/>
    </w:pPr>
    <w:rPr>
      <w:b/>
      <w:sz w:val="28"/>
      <w:szCs w:val="28"/>
    </w:rPr>
  </w:style>
  <w:style w:type="paragraph" w:styleId="Titolo4">
    <w:name w:val="heading 4"/>
    <w:basedOn w:val="Normale"/>
    <w:next w:val="Normale"/>
    <w:uiPriority w:val="9"/>
    <w:semiHidden/>
    <w:unhideWhenUsed/>
    <w:qFormat/>
    <w:pPr>
      <w:keepNext/>
      <w:keepLines/>
      <w:spacing w:before="240" w:after="40"/>
      <w:outlineLvl w:val="3"/>
    </w:pPr>
    <w:rPr>
      <w:b/>
      <w:sz w:val="24"/>
      <w:szCs w:val="24"/>
    </w:rPr>
  </w:style>
  <w:style w:type="paragraph" w:styleId="Titolo5">
    <w:name w:val="heading 5"/>
    <w:basedOn w:val="Normale"/>
    <w:next w:val="Normale"/>
    <w:uiPriority w:val="9"/>
    <w:semiHidden/>
    <w:unhideWhenUsed/>
    <w:qFormat/>
    <w:pPr>
      <w:keepNext/>
      <w:keepLines/>
      <w:spacing w:before="220" w:after="40"/>
      <w:outlineLvl w:val="4"/>
    </w:pPr>
    <w:rPr>
      <w:b/>
    </w:rPr>
  </w:style>
  <w:style w:type="paragraph" w:styleId="Titolo6">
    <w:name w:val="heading 6"/>
    <w:basedOn w:val="Normale"/>
    <w:next w:val="Normale"/>
    <w:uiPriority w:val="9"/>
    <w:semiHidden/>
    <w:unhideWhenUsed/>
    <w:qFormat/>
    <w:pPr>
      <w:keepNext/>
      <w:keepLines/>
      <w:spacing w:before="200" w:after="40"/>
      <w:outlineLvl w:val="5"/>
    </w:pPr>
    <w:rPr>
      <w:b/>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table" w:customStyle="1" w:styleId="TableNormal">
    <w:name w:val="Table Normal"/>
    <w:tblPr>
      <w:tblCellMar>
        <w:top w:w="0" w:type="dxa"/>
        <w:left w:w="0" w:type="dxa"/>
        <w:bottom w:w="0" w:type="dxa"/>
        <w:right w:w="0" w:type="dxa"/>
      </w:tblCellMar>
    </w:tblPr>
  </w:style>
  <w:style w:type="paragraph" w:styleId="Titolo">
    <w:name w:val="Title"/>
    <w:basedOn w:val="Normale"/>
    <w:next w:val="Normale"/>
    <w:uiPriority w:val="10"/>
    <w:qFormat/>
    <w:pPr>
      <w:keepNext/>
      <w:keepLines/>
      <w:spacing w:before="480" w:after="120"/>
    </w:pPr>
    <w:rPr>
      <w:b/>
      <w:sz w:val="72"/>
      <w:szCs w:val="72"/>
    </w:rPr>
  </w:style>
  <w:style w:type="paragraph" w:styleId="Sottotitolo">
    <w:name w:val="Subtitle"/>
    <w:basedOn w:val="Normale"/>
    <w:next w:val="Normale"/>
    <w:uiPriority w:val="11"/>
    <w:qFormat/>
    <w:pPr>
      <w:keepNext/>
      <w:keepLines/>
      <w:spacing w:before="360" w:after="80"/>
    </w:pPr>
    <w:rPr>
      <w:rFonts w:ascii="Georgia" w:eastAsia="Georgia" w:hAnsi="Georgia" w:cs="Georgia"/>
      <w:i/>
      <w:color w:val="666666"/>
      <w:sz w:val="48"/>
      <w:szCs w:val="4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https://www.unicef.it/convenzione-diritti-infanzia"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www.istat.it/it/files/2020/12/Report-alunni-con-disabilit%C3%A0.pdf" TargetMode="External"/><Relationship Id="rId5" Type="http://schemas.openxmlformats.org/officeDocument/2006/relationships/image" Target="media/image1.png"/><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36</Pages>
  <Words>16576</Words>
  <Characters>94486</Characters>
  <Application>Microsoft Office Word</Application>
  <DocSecurity>0</DocSecurity>
  <Lines>787</Lines>
  <Paragraphs>221</Paragraphs>
  <ScaleCrop>false</ScaleCrop>
  <Company/>
  <LinksUpToDate>false</LinksUpToDate>
  <CharactersWithSpaces>110841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cp:lastModifiedBy>paolo lucchi</cp:lastModifiedBy>
  <cp:revision>2</cp:revision>
  <dcterms:created xsi:type="dcterms:W3CDTF">2023-02-07T20:50:00Z</dcterms:created>
  <dcterms:modified xsi:type="dcterms:W3CDTF">2023-02-07T20:50:00Z</dcterms:modified>
</cp:coreProperties>
</file>