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8F0ED3" w:rsidRPr="008F0ED3" w:rsidRDefault="008F0ED3" w:rsidP="0058727E">
      <w:pPr>
        <w:rPr>
          <w:rFonts w:ascii="Times New Roman" w:hAnsi="Times New Roman" w:cs="Times New Roman"/>
          <w:i/>
          <w:iCs/>
          <w:color w:val="000000" w:themeColor="text1"/>
          <w:lang w:eastAsia="it-IT"/>
        </w:rPr>
      </w:pPr>
      <w:r w:rsidRPr="008F0ED3">
        <w:rPr>
          <w:rFonts w:ascii="Times New Roman" w:hAnsi="Times New Roman" w:cs="Times New Roman"/>
          <w:i/>
          <w:iCs/>
          <w:color w:val="000000" w:themeColor="text1"/>
          <w:lang w:eastAsia="it-IT"/>
        </w:rPr>
        <w:t xml:space="preserve">(OMISSIS E evidenziazioni a cura di </w:t>
      </w:r>
      <w:proofErr w:type="spellStart"/>
      <w:r w:rsidRPr="008F0ED3">
        <w:rPr>
          <w:rFonts w:ascii="Times New Roman" w:hAnsi="Times New Roman" w:cs="Times New Roman"/>
          <w:i/>
          <w:iCs/>
          <w:color w:val="000000" w:themeColor="text1"/>
          <w:lang w:eastAsia="it-IT"/>
        </w:rPr>
        <w:t>Carteinregola</w:t>
      </w:r>
      <w:proofErr w:type="spellEnd"/>
      <w:r w:rsidRPr="008F0ED3">
        <w:rPr>
          <w:rFonts w:ascii="Times New Roman" w:hAnsi="Times New Roman" w:cs="Times New Roman"/>
          <w:i/>
          <w:iCs/>
          <w:color w:val="000000" w:themeColor="text1"/>
          <w:lang w:eastAsia="it-IT"/>
        </w:rPr>
        <w:t>)</w:t>
      </w:r>
    </w:p>
    <w:p w:rsidR="008F0ED3" w:rsidRDefault="008F0ED3" w:rsidP="0058727E">
      <w:pPr>
        <w:rPr>
          <w:rFonts w:ascii="Times New Roman" w:hAnsi="Times New Roman" w:cs="Times New Roman"/>
          <w:color w:val="000000" w:themeColor="text1"/>
          <w:lang w:eastAsia="it-IT"/>
        </w:rPr>
      </w:pPr>
    </w:p>
    <w:p w:rsidR="00023F52" w:rsidRPr="008F0ED3" w:rsidRDefault="00023F52" w:rsidP="0058727E">
      <w:pPr>
        <w:rPr>
          <w:rFonts w:ascii="Times New Roman" w:hAnsi="Times New Roman" w:cs="Times New Roman"/>
          <w:color w:val="000000" w:themeColor="text1"/>
          <w:lang w:eastAsia="it-IT"/>
        </w:rPr>
      </w:pPr>
      <w:r w:rsidRPr="008F0ED3">
        <w:rPr>
          <w:rFonts w:ascii="Times New Roman" w:hAnsi="Times New Roman" w:cs="Times New Roman"/>
          <w:color w:val="000000" w:themeColor="text1"/>
          <w:lang w:eastAsia="it-IT"/>
        </w:rPr>
        <w:t xml:space="preserve">Cassazione civile sez. un., 27/11/2019, (ud. 14/10/2019, </w:t>
      </w:r>
      <w:proofErr w:type="spellStart"/>
      <w:r w:rsidRPr="008F0ED3">
        <w:rPr>
          <w:rFonts w:ascii="Times New Roman" w:hAnsi="Times New Roman" w:cs="Times New Roman"/>
          <w:color w:val="000000" w:themeColor="text1"/>
          <w:lang w:eastAsia="it-IT"/>
        </w:rPr>
        <w:t>dep</w:t>
      </w:r>
      <w:proofErr w:type="spellEnd"/>
      <w:r w:rsidRPr="008F0ED3">
        <w:rPr>
          <w:rFonts w:ascii="Times New Roman" w:hAnsi="Times New Roman" w:cs="Times New Roman"/>
          <w:color w:val="000000" w:themeColor="text1"/>
          <w:lang w:eastAsia="it-IT"/>
        </w:rPr>
        <w:t>. 27/11/2019), n.31022</w:t>
      </w:r>
    </w:p>
    <w:p w:rsidR="00023F52" w:rsidRPr="008F0ED3" w:rsidRDefault="00023F52" w:rsidP="0058727E">
      <w:pPr>
        <w:rPr>
          <w:rFonts w:ascii="Times New Roman" w:hAnsi="Times New Roman" w:cs="Times New Roman"/>
          <w:color w:val="000000" w:themeColor="text1"/>
          <w:lang w:eastAsia="it-IT"/>
        </w:rPr>
      </w:pPr>
      <w:r w:rsidRPr="008F0ED3">
        <w:rPr>
          <w:rFonts w:ascii="Times New Roman" w:hAnsi="Times New Roman" w:cs="Times New Roman"/>
          <w:color w:val="000000" w:themeColor="text1"/>
          <w:lang w:eastAsia="it-IT"/>
        </w:rPr>
        <w:t>LA CORTE SUPREMA DI CASSAZIONE</w:t>
      </w:r>
    </w:p>
    <w:p w:rsidR="00023F52" w:rsidRPr="008F0ED3" w:rsidRDefault="00023F52" w:rsidP="0058727E">
      <w:pPr>
        <w:rPr>
          <w:rFonts w:ascii="Times New Roman" w:hAnsi="Times New Roman" w:cs="Times New Roman"/>
          <w:color w:val="000000" w:themeColor="text1"/>
          <w:lang w:eastAsia="it-IT"/>
        </w:rPr>
      </w:pPr>
      <w:r w:rsidRPr="008F0ED3">
        <w:rPr>
          <w:rFonts w:ascii="Times New Roman" w:hAnsi="Times New Roman" w:cs="Times New Roman"/>
          <w:color w:val="000000" w:themeColor="text1"/>
          <w:lang w:eastAsia="it-IT"/>
        </w:rPr>
        <w:t>SEZIONI UNITE CIVILI</w:t>
      </w:r>
    </w:p>
    <w:p w:rsidR="00023F52" w:rsidRPr="008F0ED3" w:rsidRDefault="00023F52" w:rsidP="0058727E">
      <w:pPr>
        <w:rPr>
          <w:rFonts w:ascii="Times New Roman" w:hAnsi="Times New Roman" w:cs="Times New Roman"/>
          <w:color w:val="000000" w:themeColor="text1"/>
          <w:lang w:eastAsia="it-IT"/>
        </w:rPr>
      </w:pPr>
      <w:r w:rsidRPr="008F0ED3">
        <w:rPr>
          <w:rFonts w:ascii="Times New Roman" w:hAnsi="Times New Roman" w:cs="Times New Roman"/>
          <w:color w:val="000000" w:themeColor="text1"/>
          <w:lang w:eastAsia="it-IT"/>
        </w:rPr>
        <w:t xml:space="preserve">Composta dagli Ill.mi </w:t>
      </w:r>
      <w:proofErr w:type="spellStart"/>
      <w:r w:rsidRPr="008F0ED3">
        <w:rPr>
          <w:rFonts w:ascii="Times New Roman" w:hAnsi="Times New Roman" w:cs="Times New Roman"/>
          <w:color w:val="000000" w:themeColor="text1"/>
          <w:lang w:eastAsia="it-IT"/>
        </w:rPr>
        <w:t>Sigg.ri</w:t>
      </w:r>
      <w:proofErr w:type="spellEnd"/>
      <w:r w:rsidRPr="008F0ED3">
        <w:rPr>
          <w:rFonts w:ascii="Times New Roman" w:hAnsi="Times New Roman" w:cs="Times New Roman"/>
          <w:color w:val="000000" w:themeColor="text1"/>
          <w:lang w:eastAsia="it-IT"/>
        </w:rPr>
        <w:t xml:space="preserve"> Magistrati:</w:t>
      </w:r>
    </w:p>
    <w:p w:rsidR="008F0ED3" w:rsidRPr="008F0ED3" w:rsidRDefault="008F0ED3" w:rsidP="0058727E">
      <w:pPr>
        <w:rPr>
          <w:rFonts w:ascii="Times New Roman" w:hAnsi="Times New Roman" w:cs="Times New Roman"/>
          <w:color w:val="000000" w:themeColor="text1"/>
          <w:lang w:eastAsia="it-IT"/>
        </w:rPr>
      </w:pPr>
      <w:r w:rsidRPr="008F0ED3">
        <w:rPr>
          <w:rFonts w:ascii="Times New Roman" w:hAnsi="Times New Roman" w:cs="Times New Roman"/>
          <w:color w:val="000000" w:themeColor="text1"/>
          <w:kern w:val="0"/>
        </w:rPr>
        <w:t>OMISSIS</w:t>
      </w:r>
      <w:r w:rsidRPr="008F0ED3">
        <w:rPr>
          <w:rFonts w:ascii="Times New Roman" w:hAnsi="Times New Roman" w:cs="Times New Roman"/>
          <w:color w:val="000000" w:themeColor="text1"/>
          <w:lang w:eastAsia="it-IT"/>
        </w:rPr>
        <w:t xml:space="preserve"> </w:t>
      </w:r>
    </w:p>
    <w:p w:rsidR="00023F52" w:rsidRPr="008F0ED3" w:rsidRDefault="00023F52" w:rsidP="0058727E">
      <w:pPr>
        <w:rPr>
          <w:rFonts w:ascii="Times New Roman" w:hAnsi="Times New Roman" w:cs="Times New Roman"/>
          <w:color w:val="000000" w:themeColor="text1"/>
          <w:lang w:eastAsia="it-IT"/>
        </w:rPr>
      </w:pPr>
      <w:r w:rsidRPr="008F0ED3">
        <w:rPr>
          <w:rFonts w:ascii="Times New Roman" w:hAnsi="Times New Roman" w:cs="Times New Roman"/>
          <w:color w:val="000000" w:themeColor="text1"/>
          <w:lang w:eastAsia="it-IT"/>
        </w:rPr>
        <w:t>ha pronunciato la seguente:</w:t>
      </w:r>
    </w:p>
    <w:p w:rsidR="00023F52" w:rsidRPr="008F0ED3" w:rsidRDefault="00023F52" w:rsidP="0058727E">
      <w:pPr>
        <w:rPr>
          <w:rFonts w:ascii="Times New Roman" w:hAnsi="Times New Roman" w:cs="Times New Roman"/>
          <w:color w:val="000000" w:themeColor="text1"/>
          <w:lang w:eastAsia="it-IT"/>
        </w:rPr>
      </w:pPr>
      <w:r w:rsidRPr="008F0ED3">
        <w:rPr>
          <w:rFonts w:ascii="Times New Roman" w:hAnsi="Times New Roman" w:cs="Times New Roman"/>
          <w:color w:val="000000" w:themeColor="text1"/>
          <w:lang w:eastAsia="it-IT"/>
        </w:rPr>
        <w:t>ORDINANZA</w:t>
      </w:r>
    </w:p>
    <w:p w:rsidR="00023F52" w:rsidRPr="008F0ED3" w:rsidRDefault="00023F52" w:rsidP="0058727E">
      <w:pPr>
        <w:rPr>
          <w:rFonts w:ascii="Times New Roman" w:hAnsi="Times New Roman" w:cs="Times New Roman"/>
          <w:color w:val="000000" w:themeColor="text1"/>
          <w:lang w:eastAsia="it-IT"/>
        </w:rPr>
      </w:pPr>
      <w:r w:rsidRPr="008F0ED3">
        <w:rPr>
          <w:rFonts w:ascii="Times New Roman" w:hAnsi="Times New Roman" w:cs="Times New Roman"/>
          <w:color w:val="000000" w:themeColor="text1"/>
          <w:lang w:eastAsia="it-IT"/>
        </w:rPr>
        <w:t>sul ricorso 22560/2018 proposto da:</w:t>
      </w:r>
    </w:p>
    <w:p w:rsidR="00023F52" w:rsidRPr="008F0ED3" w:rsidRDefault="008F0ED3" w:rsidP="0058727E">
      <w:pPr>
        <w:rPr>
          <w:rFonts w:ascii="Times New Roman" w:hAnsi="Times New Roman" w:cs="Times New Roman"/>
          <w:color w:val="000000" w:themeColor="text1"/>
          <w:lang w:eastAsia="it-IT"/>
        </w:rPr>
      </w:pPr>
      <w:r w:rsidRPr="008F0ED3">
        <w:rPr>
          <w:rFonts w:ascii="Times New Roman" w:hAnsi="Times New Roman" w:cs="Times New Roman"/>
          <w:color w:val="000000" w:themeColor="text1"/>
          <w:kern w:val="0"/>
        </w:rPr>
        <w:t>OMISSIS</w:t>
      </w:r>
      <w:r w:rsidR="00023F52" w:rsidRPr="008F0ED3">
        <w:rPr>
          <w:rFonts w:ascii="Times New Roman" w:hAnsi="Times New Roman" w:cs="Times New Roman"/>
          <w:color w:val="000000" w:themeColor="text1"/>
          <w:lang w:eastAsia="it-IT"/>
        </w:rPr>
        <w:t>., in persona del legale rappresentante pro tempore,</w:t>
      </w:r>
    </w:p>
    <w:p w:rsidR="00023F52" w:rsidRPr="008F0ED3" w:rsidRDefault="00023F52" w:rsidP="008F0ED3">
      <w:pPr>
        <w:rPr>
          <w:rFonts w:ascii="Times New Roman" w:hAnsi="Times New Roman" w:cs="Times New Roman"/>
          <w:color w:val="000000" w:themeColor="text1"/>
          <w:lang w:eastAsia="it-IT"/>
        </w:rPr>
      </w:pPr>
      <w:r w:rsidRPr="008F0ED3">
        <w:rPr>
          <w:rFonts w:ascii="Times New Roman" w:hAnsi="Times New Roman" w:cs="Times New Roman"/>
          <w:color w:val="000000" w:themeColor="text1"/>
          <w:lang w:eastAsia="it-IT"/>
        </w:rPr>
        <w:t xml:space="preserve">elettivamente domiciliata in </w:t>
      </w:r>
      <w:r w:rsidR="008F0ED3" w:rsidRPr="008F0ED3">
        <w:rPr>
          <w:rFonts w:ascii="Times New Roman" w:hAnsi="Times New Roman" w:cs="Times New Roman"/>
          <w:color w:val="000000" w:themeColor="text1"/>
          <w:kern w:val="0"/>
        </w:rPr>
        <w:t>OMISSIS</w:t>
      </w:r>
      <w:r w:rsidRPr="008F0ED3">
        <w:rPr>
          <w:rFonts w:ascii="Times New Roman" w:hAnsi="Times New Roman" w:cs="Times New Roman"/>
          <w:color w:val="000000" w:themeColor="text1"/>
          <w:lang w:eastAsia="it-IT"/>
        </w:rPr>
        <w:t>;</w:t>
      </w:r>
    </w:p>
    <w:p w:rsidR="00023F52" w:rsidRPr="008F0ED3" w:rsidRDefault="00023F52" w:rsidP="0058727E">
      <w:pPr>
        <w:rPr>
          <w:rFonts w:ascii="Times New Roman" w:hAnsi="Times New Roman" w:cs="Times New Roman"/>
          <w:color w:val="000000" w:themeColor="text1"/>
          <w:lang w:eastAsia="it-IT"/>
        </w:rPr>
      </w:pPr>
      <w:r w:rsidRPr="008F0ED3">
        <w:rPr>
          <w:rFonts w:ascii="Times New Roman" w:hAnsi="Times New Roman" w:cs="Times New Roman"/>
          <w:color w:val="000000" w:themeColor="text1"/>
          <w:lang w:eastAsia="it-IT"/>
        </w:rPr>
        <w:t>– ricorrente –</w:t>
      </w:r>
    </w:p>
    <w:p w:rsidR="00023F52" w:rsidRPr="008F0ED3" w:rsidRDefault="00023F52" w:rsidP="0058727E">
      <w:pPr>
        <w:rPr>
          <w:rFonts w:ascii="Times New Roman" w:hAnsi="Times New Roman" w:cs="Times New Roman"/>
          <w:color w:val="000000" w:themeColor="text1"/>
          <w:lang w:eastAsia="it-IT"/>
        </w:rPr>
      </w:pPr>
      <w:r w:rsidRPr="008F0ED3">
        <w:rPr>
          <w:rFonts w:ascii="Times New Roman" w:hAnsi="Times New Roman" w:cs="Times New Roman"/>
          <w:color w:val="000000" w:themeColor="text1"/>
          <w:lang w:eastAsia="it-IT"/>
        </w:rPr>
        <w:t>contro</w:t>
      </w:r>
    </w:p>
    <w:p w:rsidR="00023F52" w:rsidRPr="008F0ED3" w:rsidRDefault="00023F52" w:rsidP="0058727E">
      <w:pPr>
        <w:rPr>
          <w:rFonts w:ascii="Times New Roman" w:hAnsi="Times New Roman" w:cs="Times New Roman"/>
          <w:color w:val="000000" w:themeColor="text1"/>
          <w:lang w:eastAsia="it-IT"/>
        </w:rPr>
      </w:pPr>
      <w:r w:rsidRPr="008F0ED3">
        <w:rPr>
          <w:rFonts w:ascii="Times New Roman" w:hAnsi="Times New Roman" w:cs="Times New Roman"/>
          <w:color w:val="000000" w:themeColor="text1"/>
          <w:lang w:eastAsia="it-IT"/>
        </w:rPr>
        <w:t>REGIONE VENETO, in persona del Presidente pro tempore della Giunta</w:t>
      </w:r>
    </w:p>
    <w:p w:rsidR="00023F52" w:rsidRPr="008F0ED3" w:rsidRDefault="00023F52" w:rsidP="0058727E">
      <w:pPr>
        <w:rPr>
          <w:rFonts w:ascii="Times New Roman" w:hAnsi="Times New Roman" w:cs="Times New Roman"/>
          <w:color w:val="000000" w:themeColor="text1"/>
          <w:lang w:eastAsia="it-IT"/>
        </w:rPr>
      </w:pPr>
      <w:r w:rsidRPr="008F0ED3">
        <w:rPr>
          <w:rFonts w:ascii="Times New Roman" w:hAnsi="Times New Roman" w:cs="Times New Roman"/>
          <w:color w:val="000000" w:themeColor="text1"/>
          <w:lang w:eastAsia="it-IT"/>
        </w:rPr>
        <w:t>Regionale, elettivamente domiciliata in ROMA, VIA VARRONE 9, presso</w:t>
      </w:r>
    </w:p>
    <w:p w:rsidR="00023F52" w:rsidRPr="008F0ED3" w:rsidRDefault="00023F52" w:rsidP="008F0ED3">
      <w:pPr>
        <w:rPr>
          <w:rFonts w:ascii="Times New Roman" w:hAnsi="Times New Roman" w:cs="Times New Roman"/>
          <w:color w:val="000000" w:themeColor="text1"/>
          <w:lang w:eastAsia="it-IT"/>
        </w:rPr>
      </w:pPr>
      <w:r w:rsidRPr="008F0ED3">
        <w:rPr>
          <w:rFonts w:ascii="Times New Roman" w:hAnsi="Times New Roman" w:cs="Times New Roman"/>
          <w:color w:val="000000" w:themeColor="text1"/>
          <w:lang w:eastAsia="it-IT"/>
        </w:rPr>
        <w:t xml:space="preserve">lo studio dell’avvocato </w:t>
      </w:r>
      <w:r w:rsidR="008F0ED3" w:rsidRPr="008F0ED3">
        <w:rPr>
          <w:rFonts w:ascii="Times New Roman" w:hAnsi="Times New Roman" w:cs="Times New Roman"/>
          <w:color w:val="000000" w:themeColor="text1"/>
          <w:kern w:val="0"/>
        </w:rPr>
        <w:t>OMISSIS</w:t>
      </w:r>
      <w:r w:rsidR="008F0ED3" w:rsidRPr="008F0ED3">
        <w:rPr>
          <w:rFonts w:ascii="Times New Roman" w:hAnsi="Times New Roman" w:cs="Times New Roman"/>
          <w:color w:val="000000" w:themeColor="text1"/>
          <w:lang w:eastAsia="it-IT"/>
        </w:rPr>
        <w:t xml:space="preserve"> </w:t>
      </w:r>
      <w:r w:rsidRPr="008F0ED3">
        <w:rPr>
          <w:rFonts w:ascii="Times New Roman" w:hAnsi="Times New Roman" w:cs="Times New Roman"/>
          <w:color w:val="000000" w:themeColor="text1"/>
          <w:lang w:eastAsia="it-IT"/>
        </w:rPr>
        <w:t>– controricorrente –</w:t>
      </w:r>
    </w:p>
    <w:p w:rsidR="00023F52" w:rsidRPr="008F0ED3" w:rsidRDefault="00023F52" w:rsidP="0058727E">
      <w:pPr>
        <w:rPr>
          <w:rFonts w:ascii="Times New Roman" w:hAnsi="Times New Roman" w:cs="Times New Roman"/>
          <w:color w:val="000000" w:themeColor="text1"/>
          <w:lang w:eastAsia="it-IT"/>
        </w:rPr>
      </w:pPr>
      <w:r w:rsidRPr="008F0ED3">
        <w:rPr>
          <w:rFonts w:ascii="Times New Roman" w:hAnsi="Times New Roman" w:cs="Times New Roman"/>
          <w:color w:val="000000" w:themeColor="text1"/>
          <w:lang w:eastAsia="it-IT"/>
        </w:rPr>
        <w:t>e contro</w:t>
      </w:r>
    </w:p>
    <w:p w:rsidR="00023F52" w:rsidRPr="008F0ED3" w:rsidRDefault="00023F52" w:rsidP="0058727E">
      <w:pPr>
        <w:rPr>
          <w:rFonts w:ascii="Times New Roman" w:hAnsi="Times New Roman" w:cs="Times New Roman"/>
          <w:color w:val="000000" w:themeColor="text1"/>
          <w:lang w:eastAsia="it-IT"/>
        </w:rPr>
      </w:pPr>
      <w:r w:rsidRPr="008F0ED3">
        <w:rPr>
          <w:rFonts w:ascii="Times New Roman" w:hAnsi="Times New Roman" w:cs="Times New Roman"/>
          <w:color w:val="000000" w:themeColor="text1"/>
          <w:lang w:eastAsia="it-IT"/>
        </w:rPr>
        <w:t>UNITA’ ORGANIZZATIVA GENIO CIVILE REGIONALE DI VERONA, COMUNE DI</w:t>
      </w:r>
    </w:p>
    <w:p w:rsidR="00023F52" w:rsidRPr="008F0ED3" w:rsidRDefault="00023F52" w:rsidP="0058727E">
      <w:pPr>
        <w:rPr>
          <w:rFonts w:ascii="Times New Roman" w:hAnsi="Times New Roman" w:cs="Times New Roman"/>
          <w:color w:val="000000" w:themeColor="text1"/>
          <w:lang w:eastAsia="it-IT"/>
        </w:rPr>
      </w:pPr>
      <w:r w:rsidRPr="008F0ED3">
        <w:rPr>
          <w:rFonts w:ascii="Times New Roman" w:hAnsi="Times New Roman" w:cs="Times New Roman"/>
          <w:color w:val="000000" w:themeColor="text1"/>
          <w:lang w:eastAsia="it-IT"/>
        </w:rPr>
        <w:t>VERONA;</w:t>
      </w:r>
    </w:p>
    <w:p w:rsidR="00023F52" w:rsidRPr="008F0ED3" w:rsidRDefault="00023F52" w:rsidP="0058727E">
      <w:pPr>
        <w:rPr>
          <w:rFonts w:ascii="Times New Roman" w:hAnsi="Times New Roman" w:cs="Times New Roman"/>
          <w:color w:val="000000" w:themeColor="text1"/>
          <w:lang w:eastAsia="it-IT"/>
        </w:rPr>
      </w:pPr>
      <w:r w:rsidRPr="008F0ED3">
        <w:rPr>
          <w:rFonts w:ascii="Times New Roman" w:hAnsi="Times New Roman" w:cs="Times New Roman"/>
          <w:color w:val="000000" w:themeColor="text1"/>
          <w:lang w:eastAsia="it-IT"/>
        </w:rPr>
        <w:t>– intimati –</w:t>
      </w:r>
    </w:p>
    <w:p w:rsidR="00023F52" w:rsidRPr="008F0ED3" w:rsidRDefault="00023F52" w:rsidP="0058727E">
      <w:pPr>
        <w:rPr>
          <w:rFonts w:ascii="Times New Roman" w:hAnsi="Times New Roman" w:cs="Times New Roman"/>
          <w:color w:val="000000" w:themeColor="text1"/>
          <w:lang w:eastAsia="it-IT"/>
        </w:rPr>
      </w:pPr>
      <w:r w:rsidRPr="008F0ED3">
        <w:rPr>
          <w:rFonts w:ascii="Times New Roman" w:hAnsi="Times New Roman" w:cs="Times New Roman"/>
          <w:color w:val="000000" w:themeColor="text1"/>
          <w:lang w:eastAsia="it-IT"/>
        </w:rPr>
        <w:t>avverso la sentenza n. 99/2018 del TRIBUNALE SUPERIORE DELLE ACQUE</w:t>
      </w:r>
    </w:p>
    <w:p w:rsidR="00023F52" w:rsidRPr="008F0ED3" w:rsidRDefault="00023F52" w:rsidP="0058727E">
      <w:pPr>
        <w:rPr>
          <w:rFonts w:ascii="Times New Roman" w:hAnsi="Times New Roman" w:cs="Times New Roman"/>
          <w:color w:val="000000" w:themeColor="text1"/>
          <w:lang w:eastAsia="it-IT"/>
        </w:rPr>
      </w:pPr>
      <w:r w:rsidRPr="008F0ED3">
        <w:rPr>
          <w:rFonts w:ascii="Times New Roman" w:hAnsi="Times New Roman" w:cs="Times New Roman"/>
          <w:color w:val="000000" w:themeColor="text1"/>
          <w:lang w:eastAsia="it-IT"/>
        </w:rPr>
        <w:t>PUBBLICHE, depositata il 28/05/2018.</w:t>
      </w:r>
    </w:p>
    <w:p w:rsidR="00023F52" w:rsidRPr="008F0ED3" w:rsidRDefault="00023F52" w:rsidP="0058727E">
      <w:pPr>
        <w:rPr>
          <w:rFonts w:ascii="Times New Roman" w:hAnsi="Times New Roman" w:cs="Times New Roman"/>
          <w:color w:val="000000" w:themeColor="text1"/>
          <w:lang w:eastAsia="it-IT"/>
        </w:rPr>
      </w:pPr>
      <w:r w:rsidRPr="008F0ED3">
        <w:rPr>
          <w:rFonts w:ascii="Times New Roman" w:hAnsi="Times New Roman" w:cs="Times New Roman"/>
          <w:color w:val="000000" w:themeColor="text1"/>
          <w:lang w:eastAsia="it-IT"/>
        </w:rPr>
        <w:t>Udita la relazione della causa svolta nella Camera di consiglio del</w:t>
      </w:r>
    </w:p>
    <w:p w:rsidR="00023F52" w:rsidRPr="008F0ED3" w:rsidRDefault="00023F52" w:rsidP="0058727E">
      <w:pPr>
        <w:rPr>
          <w:rFonts w:ascii="Times New Roman" w:hAnsi="Times New Roman" w:cs="Times New Roman"/>
          <w:color w:val="000000" w:themeColor="text1"/>
          <w:lang w:eastAsia="it-IT"/>
        </w:rPr>
      </w:pPr>
      <w:r w:rsidRPr="008F0ED3">
        <w:rPr>
          <w:rFonts w:ascii="Times New Roman" w:hAnsi="Times New Roman" w:cs="Times New Roman"/>
          <w:color w:val="000000" w:themeColor="text1"/>
          <w:lang w:eastAsia="it-IT"/>
        </w:rPr>
        <w:t xml:space="preserve">14/10/2019 dal Consigliere </w:t>
      </w:r>
      <w:r w:rsidR="008F0ED3" w:rsidRPr="008F0ED3">
        <w:rPr>
          <w:rFonts w:ascii="Times New Roman" w:hAnsi="Times New Roman" w:cs="Times New Roman"/>
          <w:color w:val="000000" w:themeColor="text1"/>
          <w:kern w:val="0"/>
        </w:rPr>
        <w:t>OMISSIS</w:t>
      </w:r>
      <w:r w:rsidRPr="008F0ED3">
        <w:rPr>
          <w:rFonts w:ascii="Times New Roman" w:hAnsi="Times New Roman" w:cs="Times New Roman"/>
          <w:color w:val="000000" w:themeColor="text1"/>
          <w:lang w:eastAsia="it-IT"/>
        </w:rPr>
        <w:t>.</w:t>
      </w:r>
    </w:p>
    <w:p w:rsidR="00023F52" w:rsidRPr="008F0ED3" w:rsidRDefault="00023F52" w:rsidP="0058727E">
      <w:pPr>
        <w:rPr>
          <w:rFonts w:ascii="Times New Roman" w:hAnsi="Times New Roman" w:cs="Times New Roman"/>
          <w:color w:val="000000" w:themeColor="text1"/>
          <w:lang w:eastAsia="it-IT"/>
        </w:rPr>
      </w:pPr>
      <w:r w:rsidRPr="008F0ED3">
        <w:rPr>
          <w:rFonts w:ascii="Times New Roman" w:hAnsi="Times New Roman" w:cs="Times New Roman"/>
          <w:color w:val="000000" w:themeColor="text1"/>
          <w:lang w:eastAsia="it-IT"/>
        </w:rPr>
        <w:t>Fatto</w:t>
      </w:r>
    </w:p>
    <w:p w:rsidR="00023F52" w:rsidRPr="008F0ED3" w:rsidRDefault="00023F52" w:rsidP="0058727E">
      <w:pPr>
        <w:rPr>
          <w:rFonts w:ascii="Times New Roman" w:hAnsi="Times New Roman" w:cs="Times New Roman"/>
          <w:color w:val="000000" w:themeColor="text1"/>
          <w:lang w:eastAsia="it-IT"/>
        </w:rPr>
      </w:pPr>
      <w:r w:rsidRPr="008F0ED3">
        <w:rPr>
          <w:rFonts w:ascii="Times New Roman" w:hAnsi="Times New Roman" w:cs="Times New Roman"/>
          <w:color w:val="000000" w:themeColor="text1"/>
          <w:lang w:eastAsia="it-IT"/>
        </w:rPr>
        <w:t>RILEVATO</w:t>
      </w:r>
    </w:p>
    <w:p w:rsidR="00023F52" w:rsidRPr="008F0ED3" w:rsidRDefault="00023F52" w:rsidP="0058727E">
      <w:pPr>
        <w:rPr>
          <w:rFonts w:ascii="Times New Roman" w:hAnsi="Times New Roman" w:cs="Times New Roman"/>
          <w:color w:val="000000" w:themeColor="text1"/>
          <w:lang w:eastAsia="it-IT"/>
        </w:rPr>
      </w:pPr>
      <w:r w:rsidRPr="008F0ED3">
        <w:rPr>
          <w:rFonts w:ascii="Times New Roman" w:hAnsi="Times New Roman" w:cs="Times New Roman"/>
          <w:color w:val="000000" w:themeColor="text1"/>
          <w:lang w:eastAsia="it-IT"/>
        </w:rPr>
        <w:t>che:</w:t>
      </w:r>
    </w:p>
    <w:p w:rsidR="00023F52" w:rsidRPr="008F0ED3" w:rsidRDefault="008F0ED3" w:rsidP="0058727E">
      <w:pPr>
        <w:rPr>
          <w:rFonts w:ascii="Times New Roman" w:hAnsi="Times New Roman" w:cs="Times New Roman"/>
          <w:color w:val="000000" w:themeColor="text1"/>
          <w:lang w:eastAsia="it-IT"/>
        </w:rPr>
      </w:pPr>
      <w:r w:rsidRPr="008F0ED3">
        <w:rPr>
          <w:rFonts w:ascii="Times New Roman" w:hAnsi="Times New Roman" w:cs="Times New Roman"/>
          <w:color w:val="000000" w:themeColor="text1"/>
          <w:kern w:val="0"/>
        </w:rPr>
        <w:t>OMISSIS</w:t>
      </w:r>
      <w:r w:rsidRPr="008F0ED3">
        <w:rPr>
          <w:rFonts w:ascii="Times New Roman" w:hAnsi="Times New Roman" w:cs="Times New Roman"/>
          <w:color w:val="000000" w:themeColor="text1"/>
          <w:lang w:eastAsia="it-IT"/>
        </w:rPr>
        <w:t xml:space="preserve"> </w:t>
      </w:r>
      <w:r w:rsidR="00023F52" w:rsidRPr="008F0ED3">
        <w:rPr>
          <w:rFonts w:ascii="Times New Roman" w:hAnsi="Times New Roman" w:cs="Times New Roman"/>
          <w:color w:val="000000" w:themeColor="text1"/>
          <w:lang w:eastAsia="it-IT"/>
        </w:rPr>
        <w:t xml:space="preserve">in persona del legale rappresentante pro tempore, ricorre, affidandosi a due motivi, nei confronti della Regione Veneto, dell’Unità organizzativa Genio Civile regionale di Verona e del Comune di Verona, per la cassazione della sentenza n. 99/18, depositata il 29 maggio 2018, con cui il Tribunale Superiore delle Acque Pubbliche aveva rigettato il ricorso, da essa proposto, avverso il </w:t>
      </w:r>
      <w:r w:rsidR="00023F52" w:rsidRPr="008F0ED3">
        <w:rPr>
          <w:rFonts w:ascii="Times New Roman" w:hAnsi="Times New Roman" w:cs="Times New Roman"/>
          <w:b/>
          <w:bCs/>
          <w:color w:val="000000" w:themeColor="text1"/>
          <w:u w:val="single"/>
          <w:lang w:eastAsia="it-IT"/>
        </w:rPr>
        <w:t>provvedimento con cui la Regione – Unità del Genio Civile di Verona aveva negato l’autorizzazione idraulica, in relazione al progetto di ristrutturazione di un edificio, sito all’interno del centro abitato</w:t>
      </w:r>
      <w:r w:rsidR="00023F52" w:rsidRPr="008F0ED3">
        <w:rPr>
          <w:rFonts w:ascii="Times New Roman" w:hAnsi="Times New Roman" w:cs="Times New Roman"/>
          <w:color w:val="000000" w:themeColor="text1"/>
          <w:lang w:eastAsia="it-IT"/>
        </w:rPr>
        <w:t xml:space="preserve"> di (OMISSIS), in prossimità del fiume (OMISSIS), </w:t>
      </w:r>
      <w:proofErr w:type="spellStart"/>
      <w:r w:rsidR="00023F52" w:rsidRPr="008F0ED3">
        <w:rPr>
          <w:rFonts w:ascii="Times New Roman" w:hAnsi="Times New Roman" w:cs="Times New Roman"/>
          <w:color w:val="000000" w:themeColor="text1"/>
          <w:lang w:eastAsia="it-IT"/>
        </w:rPr>
        <w:t>nonchè</w:t>
      </w:r>
      <w:proofErr w:type="spellEnd"/>
      <w:r w:rsidR="00023F52" w:rsidRPr="008F0ED3">
        <w:rPr>
          <w:rFonts w:ascii="Times New Roman" w:hAnsi="Times New Roman" w:cs="Times New Roman"/>
          <w:color w:val="000000" w:themeColor="text1"/>
          <w:lang w:eastAsia="it-IT"/>
        </w:rPr>
        <w:t xml:space="preserve"> avverso il conseguenziale provvedimento di sospensione dei lavori di ristrutturazione e il successivo ordine di demolizione, con riduzione in pristino;</w:t>
      </w:r>
    </w:p>
    <w:p w:rsidR="00023F52" w:rsidRPr="008F0ED3" w:rsidRDefault="00023F52" w:rsidP="0058727E">
      <w:pPr>
        <w:rPr>
          <w:rFonts w:ascii="Times New Roman" w:hAnsi="Times New Roman" w:cs="Times New Roman"/>
          <w:color w:val="000000" w:themeColor="text1"/>
          <w:u w:val="single"/>
          <w:lang w:eastAsia="it-IT"/>
        </w:rPr>
      </w:pPr>
      <w:r w:rsidRPr="008F0ED3">
        <w:rPr>
          <w:rFonts w:ascii="Times New Roman" w:hAnsi="Times New Roman" w:cs="Times New Roman"/>
          <w:color w:val="000000" w:themeColor="text1"/>
          <w:lang w:eastAsia="it-IT"/>
        </w:rPr>
        <w:t xml:space="preserve">il Tribunale Superiore delle Acque Pubbliche, premesso che, in fatto, era rimasta incontestata la </w:t>
      </w:r>
      <w:r w:rsidRPr="008F0ED3">
        <w:rPr>
          <w:rFonts w:ascii="Times New Roman" w:hAnsi="Times New Roman" w:cs="Times New Roman"/>
          <w:b/>
          <w:bCs/>
          <w:color w:val="000000" w:themeColor="text1"/>
          <w:lang w:eastAsia="it-IT"/>
        </w:rPr>
        <w:t>realizzazione di un profondo scavo che lambiva l’argine destro del fiume</w:t>
      </w:r>
      <w:r w:rsidRPr="008F0ED3">
        <w:rPr>
          <w:rFonts w:ascii="Times New Roman" w:hAnsi="Times New Roman" w:cs="Times New Roman"/>
          <w:color w:val="000000" w:themeColor="text1"/>
          <w:lang w:eastAsia="it-IT"/>
        </w:rPr>
        <w:t xml:space="preserve"> (OMISSIS), </w:t>
      </w:r>
      <w:r w:rsidRPr="008F0ED3">
        <w:rPr>
          <w:rFonts w:ascii="Times New Roman" w:hAnsi="Times New Roman" w:cs="Times New Roman"/>
          <w:b/>
          <w:bCs/>
          <w:color w:val="000000" w:themeColor="text1"/>
          <w:lang w:eastAsia="it-IT"/>
        </w:rPr>
        <w:t>in contrasto, per un verso, con il limite dei dieci metri, di cui al R.D. n. 523 del 1904, art. 96, lett. f)</w:t>
      </w:r>
      <w:r w:rsidRPr="008F0ED3">
        <w:rPr>
          <w:rFonts w:ascii="Times New Roman" w:hAnsi="Times New Roman" w:cs="Times New Roman"/>
          <w:color w:val="000000" w:themeColor="text1"/>
          <w:lang w:eastAsia="it-IT"/>
        </w:rPr>
        <w:t xml:space="preserve"> e, per altro verso, con la fascia di rispetto idraulico di venti metri di cui al “Regolamento Ansaldi”, integrato dal provvedimento del Magistrato delle Acque di Venezia n. 9700/1981, </w:t>
      </w:r>
      <w:r w:rsidRPr="008F0ED3">
        <w:rPr>
          <w:rFonts w:ascii="Times New Roman" w:hAnsi="Times New Roman" w:cs="Times New Roman"/>
          <w:color w:val="000000" w:themeColor="text1"/>
          <w:u w:val="single"/>
          <w:lang w:eastAsia="it-IT"/>
        </w:rPr>
        <w:t>riteneva non condivisibile la tesi difensiva della Società, ovvero che la disciplina urbanistica posta in essere dal Comune di Verona fosse la sola disciplina rilevante, non solo ai fini urbanistici ed edilizi, ma, anche, nella specifica materia idraulica;</w:t>
      </w:r>
    </w:p>
    <w:p w:rsidR="00023F52" w:rsidRPr="008F0ED3" w:rsidRDefault="00023F52" w:rsidP="0058727E">
      <w:pPr>
        <w:rPr>
          <w:rFonts w:ascii="Times New Roman" w:hAnsi="Times New Roman" w:cs="Times New Roman"/>
          <w:color w:val="000000" w:themeColor="text1"/>
          <w:u w:val="single"/>
          <w:lang w:eastAsia="it-IT"/>
        </w:rPr>
      </w:pPr>
      <w:r w:rsidRPr="008F0ED3">
        <w:rPr>
          <w:rFonts w:ascii="Times New Roman" w:hAnsi="Times New Roman" w:cs="Times New Roman"/>
          <w:color w:val="000000" w:themeColor="text1"/>
          <w:lang w:eastAsia="it-IT"/>
        </w:rPr>
        <w:t xml:space="preserve">in particolare, il T.S.A.P. rilevava </w:t>
      </w:r>
      <w:r w:rsidRPr="008F0ED3">
        <w:rPr>
          <w:rFonts w:ascii="Times New Roman" w:hAnsi="Times New Roman" w:cs="Times New Roman"/>
          <w:color w:val="000000" w:themeColor="text1"/>
          <w:u w:val="single"/>
          <w:lang w:eastAsia="it-IT"/>
        </w:rPr>
        <w:t xml:space="preserve">come la norma locale, avente finalità meramente urbanistiche, non poteva derogare alla disciplina statale (R.D. n. 523 del 1904, art. 96) che – in quanto informata a tutelare il buon regime delle acque pubbliche </w:t>
      </w:r>
      <w:proofErr w:type="spellStart"/>
      <w:r w:rsidRPr="008F0ED3">
        <w:rPr>
          <w:rFonts w:ascii="Times New Roman" w:hAnsi="Times New Roman" w:cs="Times New Roman"/>
          <w:color w:val="000000" w:themeColor="text1"/>
          <w:u w:val="single"/>
          <w:lang w:eastAsia="it-IT"/>
        </w:rPr>
        <w:t>nonchè</w:t>
      </w:r>
      <w:proofErr w:type="spellEnd"/>
      <w:r w:rsidRPr="008F0ED3">
        <w:rPr>
          <w:rFonts w:ascii="Times New Roman" w:hAnsi="Times New Roman" w:cs="Times New Roman"/>
          <w:color w:val="000000" w:themeColor="text1"/>
          <w:u w:val="single"/>
          <w:lang w:eastAsia="it-IT"/>
        </w:rPr>
        <w:t xml:space="preserve"> a prevenire i danni che possono derivare da una disordinata attività costruttiva e manutentiva lungo i corsi di acqua – impone divieti da qualificarsi come tassativi, con la conseguenza che, nella specie, si fosse concretata la violazione </w:t>
      </w:r>
      <w:r w:rsidRPr="008F0ED3">
        <w:rPr>
          <w:rFonts w:ascii="Times New Roman" w:hAnsi="Times New Roman" w:cs="Times New Roman"/>
          <w:color w:val="000000" w:themeColor="text1"/>
          <w:u w:val="single"/>
          <w:lang w:eastAsia="it-IT"/>
        </w:rPr>
        <w:lastRenderedPageBreak/>
        <w:t>del R.D. n. 523 del 1904, art. 96, lett. f), non essendo stata rispettata la distanza di 10 metri dall’alveo del fiume;</w:t>
      </w:r>
    </w:p>
    <w:p w:rsidR="00023F52" w:rsidRPr="008F0ED3" w:rsidRDefault="00023F52" w:rsidP="0058727E">
      <w:pPr>
        <w:rPr>
          <w:rFonts w:ascii="Times New Roman" w:hAnsi="Times New Roman" w:cs="Times New Roman"/>
          <w:color w:val="000000" w:themeColor="text1"/>
          <w:lang w:eastAsia="it-IT"/>
        </w:rPr>
      </w:pPr>
      <w:r w:rsidRPr="008F0ED3">
        <w:rPr>
          <w:rFonts w:ascii="Times New Roman" w:hAnsi="Times New Roman" w:cs="Times New Roman"/>
          <w:color w:val="000000" w:themeColor="text1"/>
          <w:lang w:eastAsia="it-IT"/>
        </w:rPr>
        <w:t>inoltre, sempre secondo il T.S.A.P., l’accertata violazione della norma suddetta rendeva irrilevante, siccome assorbita, la questione, pur sollevata dalla ricorrente, della vigenza o meno della disciplina contenuta nel Regolamento Ansaldi, adottato nel lontano 1819 nell’allora Regno Lombardo Veneto;</w:t>
      </w:r>
    </w:p>
    <w:p w:rsidR="00023F52" w:rsidRPr="008F0ED3" w:rsidRDefault="00023F52" w:rsidP="0058727E">
      <w:pPr>
        <w:rPr>
          <w:rFonts w:ascii="Times New Roman" w:hAnsi="Times New Roman" w:cs="Times New Roman"/>
          <w:color w:val="000000" w:themeColor="text1"/>
          <w:lang w:eastAsia="it-IT"/>
        </w:rPr>
      </w:pPr>
      <w:r w:rsidRPr="008F0ED3">
        <w:rPr>
          <w:rFonts w:ascii="Times New Roman" w:hAnsi="Times New Roman" w:cs="Times New Roman"/>
          <w:color w:val="000000" w:themeColor="text1"/>
          <w:lang w:eastAsia="it-IT"/>
        </w:rPr>
        <w:t>la Regione Veneto resiste con controricorso mentre il Comune di Verona e l’Unità Organizzativa del Genio Civile regionale di Verona non hanno svolto attività difensiva;</w:t>
      </w:r>
    </w:p>
    <w:p w:rsidR="00023F52" w:rsidRPr="008F0ED3" w:rsidRDefault="00023F52" w:rsidP="0058727E">
      <w:pPr>
        <w:rPr>
          <w:rFonts w:ascii="Times New Roman" w:hAnsi="Times New Roman" w:cs="Times New Roman"/>
          <w:color w:val="000000" w:themeColor="text1"/>
          <w:lang w:eastAsia="it-IT"/>
        </w:rPr>
      </w:pPr>
      <w:r w:rsidRPr="008F0ED3">
        <w:rPr>
          <w:rFonts w:ascii="Times New Roman" w:hAnsi="Times New Roman" w:cs="Times New Roman"/>
          <w:color w:val="000000" w:themeColor="text1"/>
          <w:lang w:eastAsia="it-IT"/>
        </w:rPr>
        <w:t>il ricorso per cassazione è stato avviato alla trattazione in Camera di consiglio, ai sensi dell’art. 380-bis.1 c.p.c.;</w:t>
      </w:r>
    </w:p>
    <w:p w:rsidR="00023F52" w:rsidRPr="008F0ED3" w:rsidRDefault="00023F52" w:rsidP="0058727E">
      <w:pPr>
        <w:rPr>
          <w:rFonts w:ascii="Times New Roman" w:hAnsi="Times New Roman" w:cs="Times New Roman"/>
          <w:color w:val="000000" w:themeColor="text1"/>
          <w:lang w:eastAsia="it-IT"/>
        </w:rPr>
      </w:pPr>
      <w:r w:rsidRPr="008F0ED3">
        <w:rPr>
          <w:rFonts w:ascii="Times New Roman" w:hAnsi="Times New Roman" w:cs="Times New Roman"/>
          <w:color w:val="000000" w:themeColor="text1"/>
          <w:lang w:eastAsia="it-IT"/>
        </w:rPr>
        <w:t>in prossima dell’adunanza camerale la ricorrente ha depositato memoria.</w:t>
      </w:r>
    </w:p>
    <w:p w:rsidR="00023F52" w:rsidRPr="008F0ED3" w:rsidRDefault="00023F52" w:rsidP="0058727E">
      <w:pPr>
        <w:rPr>
          <w:rFonts w:ascii="Times New Roman" w:hAnsi="Times New Roman" w:cs="Times New Roman"/>
          <w:color w:val="000000" w:themeColor="text1"/>
          <w:lang w:eastAsia="it-IT"/>
        </w:rPr>
      </w:pPr>
      <w:r w:rsidRPr="008F0ED3">
        <w:rPr>
          <w:rFonts w:ascii="Times New Roman" w:hAnsi="Times New Roman" w:cs="Times New Roman"/>
          <w:color w:val="000000" w:themeColor="text1"/>
          <w:lang w:eastAsia="it-IT"/>
        </w:rPr>
        <w:t>Diritto</w:t>
      </w:r>
    </w:p>
    <w:p w:rsidR="00023F52" w:rsidRPr="008F0ED3" w:rsidRDefault="00023F52" w:rsidP="0058727E">
      <w:pPr>
        <w:rPr>
          <w:rFonts w:ascii="Times New Roman" w:hAnsi="Times New Roman" w:cs="Times New Roman"/>
          <w:color w:val="000000" w:themeColor="text1"/>
          <w:lang w:eastAsia="it-IT"/>
        </w:rPr>
      </w:pPr>
      <w:r w:rsidRPr="008F0ED3">
        <w:rPr>
          <w:rFonts w:ascii="Times New Roman" w:hAnsi="Times New Roman" w:cs="Times New Roman"/>
          <w:color w:val="000000" w:themeColor="text1"/>
          <w:lang w:eastAsia="it-IT"/>
        </w:rPr>
        <w:t>CONSIDERATO</w:t>
      </w:r>
    </w:p>
    <w:p w:rsidR="00023F52" w:rsidRPr="008F0ED3" w:rsidRDefault="00023F52" w:rsidP="0058727E">
      <w:pPr>
        <w:rPr>
          <w:rFonts w:ascii="Times New Roman" w:hAnsi="Times New Roman" w:cs="Times New Roman"/>
          <w:color w:val="000000" w:themeColor="text1"/>
          <w:lang w:eastAsia="it-IT"/>
        </w:rPr>
      </w:pPr>
      <w:r w:rsidRPr="008F0ED3">
        <w:rPr>
          <w:rFonts w:ascii="Times New Roman" w:hAnsi="Times New Roman" w:cs="Times New Roman"/>
          <w:color w:val="000000" w:themeColor="text1"/>
          <w:lang w:eastAsia="it-IT"/>
        </w:rPr>
        <w:t>che:</w:t>
      </w:r>
    </w:p>
    <w:p w:rsidR="00023F52" w:rsidRPr="008F0ED3" w:rsidRDefault="00023F52" w:rsidP="0058727E">
      <w:pPr>
        <w:rPr>
          <w:rFonts w:ascii="Times New Roman" w:hAnsi="Times New Roman" w:cs="Times New Roman"/>
          <w:b/>
          <w:bCs/>
          <w:color w:val="000000" w:themeColor="text1"/>
          <w:u w:val="single"/>
          <w:lang w:eastAsia="it-IT"/>
        </w:rPr>
      </w:pPr>
      <w:r w:rsidRPr="008F0ED3">
        <w:rPr>
          <w:rFonts w:ascii="Times New Roman" w:hAnsi="Times New Roman" w:cs="Times New Roman"/>
          <w:color w:val="000000" w:themeColor="text1"/>
          <w:lang w:eastAsia="it-IT"/>
        </w:rPr>
        <w:t xml:space="preserve">1 con il primo motivo di ricorso rubricato: impugnazione ai sensi dell’art. 111 Cost., per violazione di norma di legge – Violazione del R.D. n. 523 del 1904, art. 96 – Violazione della L.R. n. 11 del 2004, artt. 13 e 41 – Violazione del P.A.T. e del P.I. del Comune di Verona – </w:t>
      </w:r>
      <w:r w:rsidRPr="008F0ED3">
        <w:rPr>
          <w:rFonts w:ascii="Times New Roman" w:hAnsi="Times New Roman" w:cs="Times New Roman"/>
          <w:b/>
          <w:bCs/>
          <w:color w:val="000000" w:themeColor="text1"/>
          <w:u w:val="single"/>
          <w:lang w:eastAsia="it-IT"/>
        </w:rPr>
        <w:t>la ricorrente, premesso che la distanza di metri dieci fissata dal R.D. n. 523 del 1904, art. 96, lett. f), opera solo in assenza di una normativa locale, deduce l’errore in cui sarebbe incorso il T.S.A.P. nell’escludere che il Piano Regolatore Comunale del Comune di Verona (contenente una più ristretta fascia di rispetto idraulico) fosse riconducibile alle “discipline vigenti nelle diverse località” espressamente richiamate dalla normativa invocata;</w:t>
      </w:r>
    </w:p>
    <w:p w:rsidR="00023F52" w:rsidRPr="008F0ED3" w:rsidRDefault="00023F52" w:rsidP="0058727E">
      <w:pPr>
        <w:rPr>
          <w:rFonts w:ascii="Times New Roman" w:hAnsi="Times New Roman" w:cs="Times New Roman"/>
          <w:color w:val="000000" w:themeColor="text1"/>
          <w:lang w:eastAsia="it-IT"/>
        </w:rPr>
      </w:pPr>
      <w:r w:rsidRPr="008F0ED3">
        <w:rPr>
          <w:rFonts w:ascii="Times New Roman" w:hAnsi="Times New Roman" w:cs="Times New Roman"/>
          <w:color w:val="000000" w:themeColor="text1"/>
          <w:lang w:eastAsia="it-IT"/>
        </w:rPr>
        <w:t xml:space="preserve">in particolare, secondo la prospettazione difensiva, contrariamente a quanto argomentato nella sentenza impugnata, </w:t>
      </w:r>
      <w:r w:rsidRPr="008F0ED3">
        <w:rPr>
          <w:rFonts w:ascii="Times New Roman" w:hAnsi="Times New Roman" w:cs="Times New Roman"/>
          <w:color w:val="000000" w:themeColor="text1"/>
          <w:u w:val="single"/>
          <w:lang w:eastAsia="it-IT"/>
        </w:rPr>
        <w:t xml:space="preserve">le competenze regolamentari del Comune di Verona, in materia urbanistica, comprendevano anche quelle inerenti </w:t>
      </w:r>
      <w:proofErr w:type="gramStart"/>
      <w:r w:rsidRPr="008F0ED3">
        <w:rPr>
          <w:rFonts w:ascii="Times New Roman" w:hAnsi="Times New Roman" w:cs="Times New Roman"/>
          <w:color w:val="000000" w:themeColor="text1"/>
          <w:u w:val="single"/>
          <w:lang w:eastAsia="it-IT"/>
        </w:rPr>
        <w:t>la</w:t>
      </w:r>
      <w:proofErr w:type="gramEnd"/>
      <w:r w:rsidRPr="008F0ED3">
        <w:rPr>
          <w:rFonts w:ascii="Times New Roman" w:hAnsi="Times New Roman" w:cs="Times New Roman"/>
          <w:color w:val="000000" w:themeColor="text1"/>
          <w:u w:val="single"/>
          <w:lang w:eastAsia="it-IT"/>
        </w:rPr>
        <w:t xml:space="preserve"> materia idraulica e la regimazione delle acque pubbliche con espresso fondamento normativo nella Legge Urbanistica Veneto n. 11 del 2004</w:t>
      </w:r>
      <w:r w:rsidRPr="008F0ED3">
        <w:rPr>
          <w:rFonts w:ascii="Times New Roman" w:hAnsi="Times New Roman" w:cs="Times New Roman"/>
          <w:color w:val="000000" w:themeColor="text1"/>
          <w:lang w:eastAsia="it-IT"/>
        </w:rPr>
        <w:t>;</w:t>
      </w:r>
    </w:p>
    <w:p w:rsidR="00023F52" w:rsidRPr="008F0ED3" w:rsidRDefault="00023F52" w:rsidP="0058727E">
      <w:pPr>
        <w:rPr>
          <w:rFonts w:ascii="Times New Roman" w:hAnsi="Times New Roman" w:cs="Times New Roman"/>
          <w:b/>
          <w:bCs/>
          <w:color w:val="000000" w:themeColor="text1"/>
          <w:lang w:eastAsia="it-IT"/>
        </w:rPr>
      </w:pPr>
      <w:r w:rsidRPr="008F0ED3">
        <w:rPr>
          <w:rFonts w:ascii="Times New Roman" w:hAnsi="Times New Roman" w:cs="Times New Roman"/>
          <w:b/>
          <w:bCs/>
          <w:color w:val="000000" w:themeColor="text1"/>
          <w:lang w:eastAsia="it-IT"/>
        </w:rPr>
        <w:t>la censura è infondata</w:t>
      </w:r>
      <w:r w:rsidRPr="008F0ED3">
        <w:rPr>
          <w:rFonts w:ascii="Times New Roman" w:hAnsi="Times New Roman" w:cs="Times New Roman"/>
          <w:color w:val="000000" w:themeColor="text1"/>
          <w:lang w:eastAsia="it-IT"/>
        </w:rPr>
        <w:t xml:space="preserve">. </w:t>
      </w:r>
      <w:r w:rsidRPr="008F0ED3">
        <w:rPr>
          <w:rFonts w:ascii="Times New Roman" w:hAnsi="Times New Roman" w:cs="Times New Roman"/>
          <w:color w:val="000000" w:themeColor="text1"/>
          <w:u w:val="single"/>
          <w:lang w:eastAsia="it-IT"/>
        </w:rPr>
        <w:t xml:space="preserve">Questa Corte (cfr. Sez. U. Sentenza n. 12271 del 05/07/2004; id. </w:t>
      </w:r>
      <w:proofErr w:type="spellStart"/>
      <w:proofErr w:type="gramStart"/>
      <w:r w:rsidRPr="008F0ED3">
        <w:rPr>
          <w:rFonts w:ascii="Times New Roman" w:hAnsi="Times New Roman" w:cs="Times New Roman"/>
          <w:color w:val="000000" w:themeColor="text1"/>
          <w:u w:val="single"/>
          <w:lang w:eastAsia="it-IT"/>
        </w:rPr>
        <w:t>n.ri</w:t>
      </w:r>
      <w:proofErr w:type="spellEnd"/>
      <w:proofErr w:type="gramEnd"/>
      <w:r w:rsidRPr="008F0ED3">
        <w:rPr>
          <w:rFonts w:ascii="Times New Roman" w:hAnsi="Times New Roman" w:cs="Times New Roman"/>
          <w:color w:val="000000" w:themeColor="text1"/>
          <w:u w:val="single"/>
          <w:lang w:eastAsia="it-IT"/>
        </w:rPr>
        <w:t xml:space="preserve"> 807 del 1978, 5644 del 1979 e 11784/2009) ha già statuito che “i divieti di edificazione sanciti dal R.D. 25 luglio 1904, n. 523, art. 96 (Testo unico delle leggi sulle opere idrauliche</w:t>
      </w:r>
      <w:r w:rsidRPr="008F0ED3">
        <w:rPr>
          <w:rFonts w:ascii="Times New Roman" w:hAnsi="Times New Roman" w:cs="Times New Roman"/>
          <w:color w:val="000000" w:themeColor="text1"/>
          <w:lang w:eastAsia="it-IT"/>
        </w:rPr>
        <w:t xml:space="preserve">) </w:t>
      </w:r>
      <w:r w:rsidRPr="008F0ED3">
        <w:rPr>
          <w:rFonts w:ascii="Times New Roman" w:hAnsi="Times New Roman" w:cs="Times New Roman"/>
          <w:b/>
          <w:bCs/>
          <w:color w:val="000000" w:themeColor="text1"/>
          <w:lang w:eastAsia="it-IT"/>
        </w:rPr>
        <w:t>sono informati alla ragione pubblicistica di assicurare la possibilità di sfruttamento delle acque demaniali ovvero di assicurare il libero deflusso delle acque scorrenti nei fiumi, torrenti, canali e scolatoi pubblici”;</w:t>
      </w:r>
    </w:p>
    <w:p w:rsidR="00023F52" w:rsidRPr="008F0ED3" w:rsidRDefault="00023F52" w:rsidP="0058727E">
      <w:pPr>
        <w:rPr>
          <w:rFonts w:ascii="Times New Roman" w:hAnsi="Times New Roman" w:cs="Times New Roman"/>
          <w:b/>
          <w:bCs/>
          <w:color w:val="000000" w:themeColor="text1"/>
          <w:lang w:eastAsia="it-IT"/>
        </w:rPr>
      </w:pPr>
      <w:r w:rsidRPr="008F0ED3">
        <w:rPr>
          <w:rFonts w:ascii="Times New Roman" w:hAnsi="Times New Roman" w:cs="Times New Roman"/>
          <w:color w:val="000000" w:themeColor="text1"/>
          <w:u w:val="single"/>
          <w:lang w:eastAsia="it-IT"/>
        </w:rPr>
        <w:t xml:space="preserve">individuata tale ratio legis si è, conseguenzialmente, affermato (v. Cass. </w:t>
      </w:r>
      <w:proofErr w:type="spellStart"/>
      <w:r w:rsidRPr="008F0ED3">
        <w:rPr>
          <w:rFonts w:ascii="Times New Roman" w:hAnsi="Times New Roman" w:cs="Times New Roman"/>
          <w:color w:val="000000" w:themeColor="text1"/>
          <w:u w:val="single"/>
          <w:lang w:eastAsia="it-IT"/>
        </w:rPr>
        <w:t>S.U.n</w:t>
      </w:r>
      <w:proofErr w:type="spellEnd"/>
      <w:r w:rsidRPr="008F0ED3">
        <w:rPr>
          <w:rFonts w:ascii="Times New Roman" w:hAnsi="Times New Roman" w:cs="Times New Roman"/>
          <w:color w:val="000000" w:themeColor="text1"/>
          <w:u w:val="single"/>
          <w:lang w:eastAsia="it-IT"/>
        </w:rPr>
        <w:t>. 19813 del 18/07/2008, n. 7574 del 30.3.2009 e, di recente, n. 21870 del 30.8.2019) che “R.D. 25 luglio 1904, n. 523, art. 96, lett. f), in materia di distanze delle costruzioni dagli argini, ha carattere sussidiario, essendo destinato a prevalere solo in assenza di una specifica normativa locale</w:t>
      </w:r>
      <w:r w:rsidRPr="008F0ED3">
        <w:rPr>
          <w:rFonts w:ascii="Times New Roman" w:hAnsi="Times New Roman" w:cs="Times New Roman"/>
          <w:color w:val="000000" w:themeColor="text1"/>
          <w:lang w:eastAsia="it-IT"/>
        </w:rPr>
        <w:t xml:space="preserve">. </w:t>
      </w:r>
      <w:r w:rsidRPr="008F0ED3">
        <w:rPr>
          <w:rFonts w:ascii="Times New Roman" w:hAnsi="Times New Roman" w:cs="Times New Roman"/>
          <w:b/>
          <w:bCs/>
          <w:color w:val="000000" w:themeColor="text1"/>
          <w:lang w:eastAsia="it-IT"/>
        </w:rPr>
        <w:t>Tuttavia, quest’ultima, che può anche essere contenuta nello strumento urbanistico, per derogare alla norma statale, deve essere espressamente destinata alla regolamentazione delle distanze dagli argini, esplicitando le condizioni locali e le esigenze di tutela delle acque e degli argini che giustifichino la determinazione di una</w:t>
      </w:r>
      <w:r w:rsidRPr="008F0ED3">
        <w:rPr>
          <w:rFonts w:ascii="Times New Roman" w:hAnsi="Times New Roman" w:cs="Times New Roman"/>
          <w:color w:val="000000" w:themeColor="text1"/>
          <w:lang w:eastAsia="it-IT"/>
        </w:rPr>
        <w:t xml:space="preserve"> </w:t>
      </w:r>
      <w:r w:rsidRPr="008F0ED3">
        <w:rPr>
          <w:rFonts w:ascii="Times New Roman" w:hAnsi="Times New Roman" w:cs="Times New Roman"/>
          <w:b/>
          <w:bCs/>
          <w:color w:val="000000" w:themeColor="text1"/>
          <w:lang w:eastAsia="it-IT"/>
        </w:rPr>
        <w:t>distanza maggiore o minore di quella indicata dalla norma statale”;</w:t>
      </w:r>
    </w:p>
    <w:p w:rsidR="00023F52" w:rsidRPr="008F0ED3" w:rsidRDefault="00023F52" w:rsidP="0058727E">
      <w:pPr>
        <w:rPr>
          <w:rFonts w:ascii="Times New Roman" w:hAnsi="Times New Roman" w:cs="Times New Roman"/>
          <w:color w:val="000000" w:themeColor="text1"/>
          <w:lang w:eastAsia="it-IT"/>
        </w:rPr>
      </w:pPr>
      <w:r w:rsidRPr="008F0ED3">
        <w:rPr>
          <w:rFonts w:ascii="Times New Roman" w:hAnsi="Times New Roman" w:cs="Times New Roman"/>
          <w:color w:val="000000" w:themeColor="text1"/>
          <w:lang w:eastAsia="it-IT"/>
        </w:rPr>
        <w:t>ciò posto, nel caso in esame</w:t>
      </w:r>
      <w:r w:rsidRPr="008F0ED3">
        <w:rPr>
          <w:rFonts w:ascii="Times New Roman" w:hAnsi="Times New Roman" w:cs="Times New Roman"/>
          <w:color w:val="000000" w:themeColor="text1"/>
          <w:u w:val="single"/>
          <w:lang w:eastAsia="it-IT"/>
        </w:rPr>
        <w:t>, la normativa regionale invocata dalla ricorrente, cosi come gli stralci degli strumenti urbanistici riportati in ricorso</w:t>
      </w:r>
      <w:r w:rsidRPr="008F0ED3">
        <w:rPr>
          <w:rFonts w:ascii="Times New Roman" w:hAnsi="Times New Roman" w:cs="Times New Roman"/>
          <w:color w:val="000000" w:themeColor="text1"/>
          <w:lang w:eastAsia="it-IT"/>
        </w:rPr>
        <w:t xml:space="preserve"> (Piano di assetto del territorio “P.A.T.” e relative norme di attuazione, e Piano degli interventi “P.I.”), </w:t>
      </w:r>
      <w:r w:rsidRPr="008F0ED3">
        <w:rPr>
          <w:rFonts w:ascii="Times New Roman" w:hAnsi="Times New Roman" w:cs="Times New Roman"/>
          <w:b/>
          <w:bCs/>
          <w:color w:val="000000" w:themeColor="text1"/>
          <w:lang w:eastAsia="it-IT"/>
        </w:rPr>
        <w:t>non appaiono idonei allo scopo</w:t>
      </w:r>
      <w:r w:rsidRPr="008F0ED3">
        <w:rPr>
          <w:rFonts w:ascii="Times New Roman" w:hAnsi="Times New Roman" w:cs="Times New Roman"/>
          <w:color w:val="000000" w:themeColor="text1"/>
          <w:lang w:eastAsia="it-IT"/>
        </w:rPr>
        <w:t xml:space="preserve"> (come, peraltro, esplicitamente accertato dal T.S.A.P. ed evidenziato nella sentenza impugnata) non </w:t>
      </w:r>
      <w:r w:rsidRPr="008F0ED3">
        <w:rPr>
          <w:rFonts w:ascii="Times New Roman" w:hAnsi="Times New Roman" w:cs="Times New Roman"/>
          <w:color w:val="000000" w:themeColor="text1"/>
          <w:u w:val="single"/>
          <w:lang w:eastAsia="it-IT"/>
        </w:rPr>
        <w:t>essendo sufficienti a dimostrare che, in tali strumenti urbanistici, fosse stata presa espressamente in esame la specifica condizione del fiume (OMISSIS), in quella zona</w:t>
      </w:r>
      <w:r w:rsidRPr="008F0ED3">
        <w:rPr>
          <w:rFonts w:ascii="Times New Roman" w:hAnsi="Times New Roman" w:cs="Times New Roman"/>
          <w:color w:val="000000" w:themeColor="text1"/>
          <w:lang w:eastAsia="it-IT"/>
        </w:rPr>
        <w:t>, e si fosse attuata, per specifiche e particolari ragioni, una deroga al disposto dell’art. 96 su detto;</w:t>
      </w:r>
    </w:p>
    <w:p w:rsidR="00023F52" w:rsidRPr="008F0ED3" w:rsidRDefault="00023F52" w:rsidP="0058727E">
      <w:pPr>
        <w:rPr>
          <w:rFonts w:ascii="Times New Roman" w:hAnsi="Times New Roman" w:cs="Times New Roman"/>
          <w:color w:val="000000" w:themeColor="text1"/>
          <w:lang w:eastAsia="it-IT"/>
        </w:rPr>
      </w:pPr>
      <w:r w:rsidRPr="008F0ED3">
        <w:rPr>
          <w:rFonts w:ascii="Times New Roman" w:hAnsi="Times New Roman" w:cs="Times New Roman"/>
          <w:color w:val="000000" w:themeColor="text1"/>
          <w:lang w:eastAsia="it-IT"/>
        </w:rPr>
        <w:t xml:space="preserve">in altri termini, </w:t>
      </w:r>
      <w:r w:rsidRPr="008F0ED3">
        <w:rPr>
          <w:rFonts w:ascii="Times New Roman" w:hAnsi="Times New Roman" w:cs="Times New Roman"/>
          <w:b/>
          <w:bCs/>
          <w:color w:val="000000" w:themeColor="text1"/>
          <w:u w:val="single"/>
          <w:lang w:eastAsia="it-IT"/>
        </w:rPr>
        <w:t>deve escludersi che la normativa locale in questione risultasse emanata, così prevalendo sulla norma generale, con carattere specifico, ossia tenendo esplicitamente conto della regola generale espressa dalla normativa statale e delle peculiari condizioni delle acque e degli argini, prendendole in considerazione al fine di stabilirvi l’eventuale deroga;</w:t>
      </w:r>
    </w:p>
    <w:p w:rsidR="00023F52" w:rsidRPr="008F0ED3" w:rsidRDefault="00023F52" w:rsidP="0058727E">
      <w:pPr>
        <w:rPr>
          <w:rFonts w:ascii="Times New Roman" w:hAnsi="Times New Roman" w:cs="Times New Roman"/>
          <w:color w:val="000000" w:themeColor="text1"/>
          <w:lang w:eastAsia="it-IT"/>
        </w:rPr>
      </w:pPr>
      <w:r w:rsidRPr="008F0ED3">
        <w:rPr>
          <w:rFonts w:ascii="Times New Roman" w:hAnsi="Times New Roman" w:cs="Times New Roman"/>
          <w:color w:val="000000" w:themeColor="text1"/>
          <w:lang w:eastAsia="it-IT"/>
        </w:rPr>
        <w:lastRenderedPageBreak/>
        <w:t>2 con il secondo motivo – rubricato:</w:t>
      </w:r>
      <w:r w:rsidR="002C3B77" w:rsidRPr="008F0ED3">
        <w:rPr>
          <w:rFonts w:ascii="Times New Roman" w:hAnsi="Times New Roman" w:cs="Times New Roman"/>
          <w:color w:val="000000" w:themeColor="text1"/>
          <w:lang w:eastAsia="it-IT"/>
        </w:rPr>
        <w:t xml:space="preserve"> </w:t>
      </w:r>
      <w:r w:rsidRPr="008F0ED3">
        <w:rPr>
          <w:rFonts w:ascii="Times New Roman" w:hAnsi="Times New Roman" w:cs="Times New Roman"/>
          <w:color w:val="000000" w:themeColor="text1"/>
          <w:lang w:eastAsia="it-IT"/>
        </w:rPr>
        <w:t>impugnazione ai sensi dell’art. 111 Cost., per nullità della sentenza-totale omissione di motivazione-erroneità dell’assorbimento – la ricorrente denuncia l’erronea dichiarazione, da parte del T.S.A.P. di assorbimento della questione relativa alla perdurante vigenza del c.d. “Regolamento Ansaldi” con la conseguente totale omissione di motivazione sul punto;</w:t>
      </w:r>
    </w:p>
    <w:p w:rsidR="00023F52" w:rsidRPr="008F0ED3" w:rsidRDefault="00023F52" w:rsidP="0058727E">
      <w:pPr>
        <w:rPr>
          <w:rFonts w:ascii="Times New Roman" w:hAnsi="Times New Roman" w:cs="Times New Roman"/>
          <w:color w:val="000000" w:themeColor="text1"/>
          <w:u w:val="single"/>
          <w:lang w:eastAsia="it-IT"/>
        </w:rPr>
      </w:pPr>
      <w:r w:rsidRPr="008F0ED3">
        <w:rPr>
          <w:rFonts w:ascii="Times New Roman" w:hAnsi="Times New Roman" w:cs="Times New Roman"/>
          <w:color w:val="000000" w:themeColor="text1"/>
          <w:lang w:eastAsia="it-IT"/>
        </w:rPr>
        <w:t xml:space="preserve">in particolare, secondo la prospettazione difensiva, la questione, erroneamente ritenuta assorbita dal Tribunale Superiore delle Acque, una volta accertata la violazione dell’art. 96 citato, non era irrilevante in </w:t>
      </w:r>
      <w:r w:rsidRPr="008F0ED3">
        <w:rPr>
          <w:rFonts w:ascii="Times New Roman" w:hAnsi="Times New Roman" w:cs="Times New Roman"/>
          <w:color w:val="000000" w:themeColor="text1"/>
          <w:u w:val="single"/>
          <w:lang w:eastAsia="it-IT"/>
        </w:rPr>
        <w:t>quanto i provvedimenti impugnati avevano affermato la natura irregolare anche delle opere poste a distanza minore di 20 metri dal fiume (OMISSIS) (l’intero edificio), mentre solo lo scavo era sito a distanza inferiore a dieci metri;</w:t>
      </w:r>
    </w:p>
    <w:p w:rsidR="00023F52" w:rsidRPr="008F0ED3" w:rsidRDefault="00023F52" w:rsidP="0058727E">
      <w:pPr>
        <w:rPr>
          <w:rFonts w:ascii="Times New Roman" w:hAnsi="Times New Roman" w:cs="Times New Roman"/>
          <w:color w:val="000000" w:themeColor="text1"/>
          <w:lang w:eastAsia="it-IT"/>
        </w:rPr>
      </w:pPr>
      <w:r w:rsidRPr="008F0ED3">
        <w:rPr>
          <w:rFonts w:ascii="Times New Roman" w:hAnsi="Times New Roman" w:cs="Times New Roman"/>
          <w:color w:val="000000" w:themeColor="text1"/>
          <w:lang w:eastAsia="it-IT"/>
        </w:rPr>
        <w:t>2.1 secondo la giurisprudenza consolidata di questa Corte (v. tra le altre, Cass. n. 28633/14 e, di recente, Cass. n. 28995 del 12/11/2018) la figura dell’assorbimento in senso proprio ricorre quando la decisione sulla domanda assorbita diviene superflua, per sopravvenuto difetto di interesse della parte, la quale con la pronuncia sulla domanda assorbente ha conseguito la tutela richiesta nel modo più pieno, mentre è in senso improprio quando la decisione assorbente esclude la necessità o la possibilità di provvedere sulle altre questioni, ovvero comporta un implicito rigetto di altre domande. Ne consegue che l’assorbimento non comporta un’omissione di pronuncia (se non in senso formale) in quanto, in realtà, la decisione assorbente permette di ravvisare la decisione implicita (di rigetto oppure di accoglimento) anche sulle questioni assorbite, la cui motivazione è proprio quella dell’assorbimento, per cui, ove si escluda, rispetto ad una certa questione proposta, la correttezza della valutazione di assorbimento, avendo questa costituito l’unica motivazione della decisione assunta, ne risulta il vizio di motivazione del tutto omessa;</w:t>
      </w:r>
    </w:p>
    <w:p w:rsidR="00023F52" w:rsidRPr="008F0ED3" w:rsidRDefault="00023F52" w:rsidP="0058727E">
      <w:pPr>
        <w:rPr>
          <w:rFonts w:ascii="Times New Roman" w:hAnsi="Times New Roman" w:cs="Times New Roman"/>
          <w:color w:val="000000" w:themeColor="text1"/>
          <w:lang w:eastAsia="it-IT"/>
        </w:rPr>
      </w:pPr>
      <w:r w:rsidRPr="008F0ED3">
        <w:rPr>
          <w:rFonts w:ascii="Times New Roman" w:hAnsi="Times New Roman" w:cs="Times New Roman"/>
          <w:color w:val="000000" w:themeColor="text1"/>
          <w:lang w:eastAsia="it-IT"/>
        </w:rPr>
        <w:t>2.2 ciò premesso, nella specie, non si ravvisa il vizio dedotto con il mezzo di impugnazione;</w:t>
      </w:r>
    </w:p>
    <w:p w:rsidR="00023F52" w:rsidRPr="008F0ED3" w:rsidRDefault="00023F52" w:rsidP="0058727E">
      <w:pPr>
        <w:rPr>
          <w:rFonts w:ascii="Times New Roman" w:hAnsi="Times New Roman" w:cs="Times New Roman"/>
          <w:b/>
          <w:bCs/>
          <w:color w:val="000000" w:themeColor="text1"/>
          <w:u w:val="single"/>
          <w:lang w:eastAsia="it-IT"/>
        </w:rPr>
      </w:pPr>
      <w:r w:rsidRPr="008F0ED3">
        <w:rPr>
          <w:rFonts w:ascii="Times New Roman" w:hAnsi="Times New Roman" w:cs="Times New Roman"/>
          <w:color w:val="000000" w:themeColor="text1"/>
          <w:lang w:eastAsia="it-IT"/>
        </w:rPr>
        <w:t>come si evince dal tenore complessivo della sentenza impugnata</w:t>
      </w:r>
      <w:r w:rsidRPr="008F0ED3">
        <w:rPr>
          <w:rFonts w:ascii="Times New Roman" w:hAnsi="Times New Roman" w:cs="Times New Roman"/>
          <w:color w:val="000000" w:themeColor="text1"/>
          <w:u w:val="single"/>
          <w:lang w:eastAsia="it-IT"/>
        </w:rPr>
        <w:t xml:space="preserve">, il T.S.A.P., accertata l’assenza di norma locale in deroga alla disciplina statale e ribadito che quest’ultima, in quanto informata a tutelare il buon regime delle acque pubbliche </w:t>
      </w:r>
      <w:proofErr w:type="spellStart"/>
      <w:r w:rsidRPr="008F0ED3">
        <w:rPr>
          <w:rFonts w:ascii="Times New Roman" w:hAnsi="Times New Roman" w:cs="Times New Roman"/>
          <w:color w:val="000000" w:themeColor="text1"/>
          <w:u w:val="single"/>
          <w:lang w:eastAsia="it-IT"/>
        </w:rPr>
        <w:t>nonchè</w:t>
      </w:r>
      <w:proofErr w:type="spellEnd"/>
      <w:r w:rsidRPr="008F0ED3">
        <w:rPr>
          <w:rFonts w:ascii="Times New Roman" w:hAnsi="Times New Roman" w:cs="Times New Roman"/>
          <w:color w:val="000000" w:themeColor="text1"/>
          <w:u w:val="single"/>
          <w:lang w:eastAsia="it-IT"/>
        </w:rPr>
        <w:t xml:space="preserve"> a prevenire i danni che possano derivare da una disordinata attività costruttiva e manutentiva lungo i corsi d’acqua, impone divieti da qualificarsi come tassativi, ha ribadito la violazione del disposto del R.D. n. 523 del 1904, art. 96, lett. f) e, </w:t>
      </w:r>
      <w:r w:rsidRPr="008F0ED3">
        <w:rPr>
          <w:rFonts w:ascii="Times New Roman" w:hAnsi="Times New Roman" w:cs="Times New Roman"/>
          <w:color w:val="000000" w:themeColor="text1"/>
          <w:lang w:eastAsia="it-IT"/>
        </w:rPr>
        <w:t xml:space="preserve">motivando esplicitamente sul punto, ha ritenuto che la soluzione della questione dedotta (ovvero la attuale vigenza o meno del cd. Regolamento Ansaldi), fosse assorbita in quanto irrilevante, </w:t>
      </w:r>
      <w:proofErr w:type="spellStart"/>
      <w:r w:rsidRPr="008F0ED3">
        <w:rPr>
          <w:rFonts w:ascii="Times New Roman" w:hAnsi="Times New Roman" w:cs="Times New Roman"/>
          <w:color w:val="000000" w:themeColor="text1"/>
          <w:lang w:eastAsia="it-IT"/>
        </w:rPr>
        <w:t>giacchè</w:t>
      </w:r>
      <w:proofErr w:type="spellEnd"/>
      <w:r w:rsidRPr="008F0ED3">
        <w:rPr>
          <w:rFonts w:ascii="Times New Roman" w:hAnsi="Times New Roman" w:cs="Times New Roman"/>
          <w:color w:val="000000" w:themeColor="text1"/>
          <w:lang w:eastAsia="it-IT"/>
        </w:rPr>
        <w:t xml:space="preserve"> </w:t>
      </w:r>
      <w:r w:rsidRPr="008F0ED3">
        <w:rPr>
          <w:rFonts w:ascii="Times New Roman" w:hAnsi="Times New Roman" w:cs="Times New Roman"/>
          <w:b/>
          <w:bCs/>
          <w:color w:val="000000" w:themeColor="text1"/>
          <w:u w:val="single"/>
          <w:lang w:eastAsia="it-IT"/>
        </w:rPr>
        <w:t>dall’accertata violazione della distanza dei metri dieci, seppur riferita al solo “scavo”, conseguiva un vincolo di inedificabilità assoluto, con conseguente legittimità dei provvedimenti impugnati siccome “a carattere fortemente vincolato e dovuto”;</w:t>
      </w:r>
    </w:p>
    <w:p w:rsidR="00023F52" w:rsidRPr="008F0ED3" w:rsidRDefault="00023F52" w:rsidP="0058727E">
      <w:pPr>
        <w:rPr>
          <w:rFonts w:ascii="Times New Roman" w:hAnsi="Times New Roman" w:cs="Times New Roman"/>
          <w:color w:val="000000" w:themeColor="text1"/>
          <w:lang w:eastAsia="it-IT"/>
        </w:rPr>
      </w:pPr>
      <w:r w:rsidRPr="008F0ED3">
        <w:rPr>
          <w:rFonts w:ascii="Times New Roman" w:hAnsi="Times New Roman" w:cs="Times New Roman"/>
          <w:color w:val="000000" w:themeColor="text1"/>
          <w:lang w:eastAsia="it-IT"/>
        </w:rPr>
        <w:t>3 alla luce delle considerazioni sin qui svolte, il ricorso va rigettato;</w:t>
      </w:r>
    </w:p>
    <w:p w:rsidR="00023F52" w:rsidRPr="008F0ED3" w:rsidRDefault="00023F52" w:rsidP="0058727E">
      <w:pPr>
        <w:rPr>
          <w:rFonts w:ascii="Times New Roman" w:hAnsi="Times New Roman" w:cs="Times New Roman"/>
          <w:color w:val="000000" w:themeColor="text1"/>
          <w:lang w:eastAsia="it-IT"/>
        </w:rPr>
      </w:pPr>
      <w:r w:rsidRPr="008F0ED3">
        <w:rPr>
          <w:rFonts w:ascii="Times New Roman" w:hAnsi="Times New Roman" w:cs="Times New Roman"/>
          <w:color w:val="000000" w:themeColor="text1"/>
          <w:lang w:eastAsia="it-IT"/>
        </w:rPr>
        <w:t>4 la ricorrente, in ossequio al principio di soccombenza, va condannata alla refusione in favore della Regione Veneto, delle spese processuali liquidate, sulla base del valore della controversia e dell’attività difensiva spiegata, come in dispositivo;</w:t>
      </w:r>
    </w:p>
    <w:p w:rsidR="00023F52" w:rsidRPr="008F0ED3" w:rsidRDefault="00023F52" w:rsidP="0058727E">
      <w:pPr>
        <w:rPr>
          <w:rFonts w:ascii="Times New Roman" w:hAnsi="Times New Roman" w:cs="Times New Roman"/>
          <w:color w:val="000000" w:themeColor="text1"/>
          <w:lang w:eastAsia="it-IT"/>
        </w:rPr>
      </w:pPr>
      <w:r w:rsidRPr="008F0ED3">
        <w:rPr>
          <w:rFonts w:ascii="Times New Roman" w:hAnsi="Times New Roman" w:cs="Times New Roman"/>
          <w:color w:val="000000" w:themeColor="text1"/>
          <w:lang w:eastAsia="it-IT"/>
        </w:rPr>
        <w:t>5 non c’è pronuncia sulle spese, in mancanza di attività difensiva, nei confronti degli altri intimati;</w:t>
      </w:r>
    </w:p>
    <w:p w:rsidR="00023F52" w:rsidRPr="008F0ED3" w:rsidRDefault="00023F52" w:rsidP="0058727E">
      <w:pPr>
        <w:rPr>
          <w:rFonts w:ascii="Times New Roman" w:hAnsi="Times New Roman" w:cs="Times New Roman"/>
          <w:color w:val="000000" w:themeColor="text1"/>
          <w:lang w:eastAsia="it-IT"/>
        </w:rPr>
      </w:pPr>
      <w:r w:rsidRPr="008F0ED3">
        <w:rPr>
          <w:rFonts w:ascii="Times New Roman" w:hAnsi="Times New Roman" w:cs="Times New Roman"/>
          <w:color w:val="000000" w:themeColor="text1"/>
          <w:lang w:eastAsia="it-IT"/>
        </w:rPr>
        <w:t>6 si dà atto, ai sensi del D.P.R. n. 115 del 2002, art. 13, comma 1 quater, della sussistenza dei presupposti processuali per il versamento da parte della ricorrente dell’ulteriore importo a titolo di contributo unificato pari a quello previsto per il ricorso principale, a norma comma 1 bis, dello stesso articolo, se dovuto.</w:t>
      </w:r>
    </w:p>
    <w:p w:rsidR="00023F52" w:rsidRPr="008F0ED3" w:rsidRDefault="00023F52" w:rsidP="0058727E">
      <w:pPr>
        <w:rPr>
          <w:rFonts w:ascii="Times New Roman" w:hAnsi="Times New Roman" w:cs="Times New Roman"/>
          <w:color w:val="000000" w:themeColor="text1"/>
          <w:lang w:eastAsia="it-IT"/>
        </w:rPr>
      </w:pPr>
      <w:r w:rsidRPr="008F0ED3">
        <w:rPr>
          <w:rFonts w:ascii="Times New Roman" w:hAnsi="Times New Roman" w:cs="Times New Roman"/>
          <w:color w:val="000000" w:themeColor="text1"/>
          <w:lang w:eastAsia="it-IT"/>
        </w:rPr>
        <w:t>PQM</w:t>
      </w:r>
    </w:p>
    <w:p w:rsidR="00023F52" w:rsidRPr="008F0ED3" w:rsidRDefault="00023F52" w:rsidP="0058727E">
      <w:pPr>
        <w:rPr>
          <w:rFonts w:ascii="Times New Roman" w:hAnsi="Times New Roman" w:cs="Times New Roman"/>
          <w:color w:val="000000" w:themeColor="text1"/>
          <w:lang w:eastAsia="it-IT"/>
        </w:rPr>
      </w:pPr>
      <w:r w:rsidRPr="008F0ED3">
        <w:rPr>
          <w:rFonts w:ascii="Times New Roman" w:hAnsi="Times New Roman" w:cs="Times New Roman"/>
          <w:color w:val="000000" w:themeColor="text1"/>
          <w:lang w:eastAsia="it-IT"/>
        </w:rPr>
        <w:t>Rigetta il ricorso.</w:t>
      </w:r>
    </w:p>
    <w:p w:rsidR="00023F52" w:rsidRPr="008F0ED3" w:rsidRDefault="00023F52" w:rsidP="0058727E">
      <w:pPr>
        <w:rPr>
          <w:rFonts w:ascii="Times New Roman" w:hAnsi="Times New Roman" w:cs="Times New Roman"/>
          <w:color w:val="000000" w:themeColor="text1"/>
          <w:lang w:eastAsia="it-IT"/>
        </w:rPr>
      </w:pPr>
      <w:r w:rsidRPr="008F0ED3">
        <w:rPr>
          <w:rFonts w:ascii="Times New Roman" w:hAnsi="Times New Roman" w:cs="Times New Roman"/>
          <w:color w:val="000000" w:themeColor="text1"/>
          <w:lang w:eastAsia="it-IT"/>
        </w:rPr>
        <w:t>Condanna la ricorrente, in persona del legale rappresentante pro tempore, alla refusione in favore della Regione Veneto delle spese processuali liquidate in complessivi Euro 4.000, oltre Euro 200 per esborsi, rimborso spese generali forfetario nella misura del 15% e accessori di legge.</w:t>
      </w:r>
    </w:p>
    <w:p w:rsidR="00023F52" w:rsidRPr="008F0ED3" w:rsidRDefault="00023F52" w:rsidP="0058727E">
      <w:pPr>
        <w:rPr>
          <w:rFonts w:ascii="Times New Roman" w:hAnsi="Times New Roman" w:cs="Times New Roman"/>
          <w:color w:val="000000" w:themeColor="text1"/>
          <w:lang w:eastAsia="it-IT"/>
        </w:rPr>
      </w:pPr>
      <w:r w:rsidRPr="008F0ED3">
        <w:rPr>
          <w:rFonts w:ascii="Times New Roman" w:hAnsi="Times New Roman" w:cs="Times New Roman"/>
          <w:color w:val="000000" w:themeColor="text1"/>
          <w:lang w:eastAsia="it-IT"/>
        </w:rPr>
        <w:t>Ai sensi del D.P.R. n. 115 del 2002, art. 13, comma 1 quater, dà atto della sussistenza dei presupposti processuali per il versamento da parte della ricorrente dell’ulteriore importo a titolo di contributo unificato pari a quello dovuto per il ricorso principale, a norma del comma 1 bis dello stesso articolo, se dovuto.</w:t>
      </w:r>
    </w:p>
    <w:p w:rsidR="00023F52" w:rsidRPr="008F0ED3" w:rsidRDefault="00023F52" w:rsidP="0058727E">
      <w:pPr>
        <w:rPr>
          <w:rFonts w:ascii="Times New Roman" w:hAnsi="Times New Roman" w:cs="Times New Roman"/>
          <w:color w:val="000000" w:themeColor="text1"/>
          <w:lang w:eastAsia="it-IT"/>
        </w:rPr>
      </w:pPr>
      <w:r w:rsidRPr="008F0ED3">
        <w:rPr>
          <w:rFonts w:ascii="Times New Roman" w:hAnsi="Times New Roman" w:cs="Times New Roman"/>
          <w:color w:val="000000" w:themeColor="text1"/>
          <w:lang w:eastAsia="it-IT"/>
        </w:rPr>
        <w:lastRenderedPageBreak/>
        <w:t>Così deciso in Roma, nella Camera di consiglio, il 14 ottobre 2019.</w:t>
      </w:r>
    </w:p>
    <w:p w:rsidR="00023F52" w:rsidRPr="008F0ED3" w:rsidRDefault="00023F52" w:rsidP="0058727E">
      <w:pPr>
        <w:rPr>
          <w:rFonts w:ascii="Times New Roman" w:hAnsi="Times New Roman" w:cs="Times New Roman"/>
          <w:color w:val="000000" w:themeColor="text1"/>
          <w:lang w:eastAsia="it-IT"/>
        </w:rPr>
      </w:pPr>
      <w:r w:rsidRPr="008F0ED3">
        <w:rPr>
          <w:rFonts w:ascii="Times New Roman" w:hAnsi="Times New Roman" w:cs="Times New Roman"/>
          <w:color w:val="000000" w:themeColor="text1"/>
          <w:lang w:eastAsia="it-IT"/>
        </w:rPr>
        <w:t>Depositato in Cancelleria il 27 novembre 2019</w:t>
      </w:r>
    </w:p>
    <w:p w:rsidR="00DB0E02" w:rsidRPr="008F0ED3" w:rsidRDefault="00DB0E02" w:rsidP="0058727E">
      <w:pPr>
        <w:rPr>
          <w:rFonts w:ascii="Times New Roman" w:hAnsi="Times New Roman" w:cs="Times New Roman"/>
          <w:color w:val="000000" w:themeColor="text1"/>
        </w:rPr>
      </w:pPr>
    </w:p>
    <w:sectPr w:rsidR="00DB0E02" w:rsidRPr="008F0ED3" w:rsidSect="00AB7398">
      <w:pgSz w:w="11900" w:h="16840"/>
      <w:pgMar w:top="1417"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5"/>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23F52"/>
    <w:rsid w:val="00023F52"/>
    <w:rsid w:val="00277042"/>
    <w:rsid w:val="002C3B77"/>
    <w:rsid w:val="0032321F"/>
    <w:rsid w:val="00530289"/>
    <w:rsid w:val="0058727E"/>
    <w:rsid w:val="00605ABD"/>
    <w:rsid w:val="006C56C4"/>
    <w:rsid w:val="00836995"/>
    <w:rsid w:val="00863FE5"/>
    <w:rsid w:val="008F0ED3"/>
    <w:rsid w:val="00910032"/>
    <w:rsid w:val="00915DAD"/>
    <w:rsid w:val="009B7EC3"/>
    <w:rsid w:val="00A535F3"/>
    <w:rsid w:val="00AB7398"/>
    <w:rsid w:val="00C30939"/>
    <w:rsid w:val="00DB0E02"/>
    <w:rsid w:val="00E051CD"/>
    <w:rsid w:val="00E40BF7"/>
    <w:rsid w:val="00F45D72"/>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ecimalSymbol w:val=","/>
  <w:listSeparator w:val=";"/>
  <w14:docId w14:val="4AF15588"/>
  <w15:docId w15:val="{3EF6D083-2BB6-9D47-963A-4BC4588A13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it-IT"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paragraph" w:styleId="Titolo2">
    <w:name w:val="heading 2"/>
    <w:basedOn w:val="Normale"/>
    <w:link w:val="Titolo2Carattere"/>
    <w:uiPriority w:val="9"/>
    <w:qFormat/>
    <w:rsid w:val="00023F52"/>
    <w:pPr>
      <w:spacing w:before="100" w:beforeAutospacing="1" w:after="100" w:afterAutospacing="1"/>
      <w:outlineLvl w:val="1"/>
    </w:pPr>
    <w:rPr>
      <w:rFonts w:ascii="Times New Roman" w:eastAsia="Times New Roman" w:hAnsi="Times New Roman" w:cs="Times New Roman"/>
      <w:b/>
      <w:bCs/>
      <w:kern w:val="0"/>
      <w:sz w:val="36"/>
      <w:szCs w:val="36"/>
      <w:lang w:eastAsia="it-IT"/>
      <w14:ligatures w14:val="none"/>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2Carattere">
    <w:name w:val="Titolo 2 Carattere"/>
    <w:basedOn w:val="Carpredefinitoparagrafo"/>
    <w:link w:val="Titolo2"/>
    <w:uiPriority w:val="9"/>
    <w:rsid w:val="00023F52"/>
    <w:rPr>
      <w:rFonts w:ascii="Times New Roman" w:eastAsia="Times New Roman" w:hAnsi="Times New Roman" w:cs="Times New Roman"/>
      <w:b/>
      <w:bCs/>
      <w:kern w:val="0"/>
      <w:sz w:val="36"/>
      <w:szCs w:val="36"/>
      <w:lang w:eastAsia="it-IT"/>
      <w14:ligatures w14:val="none"/>
    </w:rPr>
  </w:style>
  <w:style w:type="paragraph" w:styleId="NormaleWeb">
    <w:name w:val="Normal (Web)"/>
    <w:basedOn w:val="Normale"/>
    <w:uiPriority w:val="99"/>
    <w:semiHidden/>
    <w:unhideWhenUsed/>
    <w:rsid w:val="00023F52"/>
    <w:pPr>
      <w:spacing w:before="100" w:beforeAutospacing="1" w:after="100" w:afterAutospacing="1"/>
    </w:pPr>
    <w:rPr>
      <w:rFonts w:ascii="Times New Roman" w:eastAsia="Times New Roman" w:hAnsi="Times New Roman" w:cs="Times New Roman"/>
      <w:kern w:val="0"/>
      <w:lang w:eastAsia="it-IT"/>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8907861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29</TotalTime>
  <Pages>4</Pages>
  <Words>1754</Words>
  <Characters>9999</Characters>
  <Application>Microsoft Office Word</Application>
  <DocSecurity>0</DocSecurity>
  <Lines>83</Lines>
  <Paragraphs>23</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11730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paolo lucchi</dc:creator>
  <cp:keywords/>
  <dc:description/>
  <cp:lastModifiedBy>paolo lucchi</cp:lastModifiedBy>
  <cp:revision>1</cp:revision>
  <dcterms:created xsi:type="dcterms:W3CDTF">2024-11-19T20:20:00Z</dcterms:created>
  <dcterms:modified xsi:type="dcterms:W3CDTF">2024-11-21T16:52:00Z</dcterms:modified>
</cp:coreProperties>
</file>