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F2416" w:rsidRPr="003F2416" w:rsidRDefault="003F2416" w:rsidP="008F2EFE">
      <w:pPr>
        <w:ind w:left="-567" w:right="-574"/>
        <w:rPr>
          <w:rStyle w:val="Enfasigrassetto"/>
          <w:rFonts w:cstheme="minorHAnsi"/>
          <w:i/>
          <w:iCs/>
          <w:color w:val="000000" w:themeColor="text1"/>
        </w:rPr>
      </w:pPr>
      <w:r w:rsidRPr="003F2416">
        <w:rPr>
          <w:rFonts w:cstheme="minorHAnsi"/>
          <w:b/>
          <w:bCs/>
          <w:i/>
          <w:iCs/>
          <w:noProof/>
          <w:color w:val="000000" w:themeColor="text1"/>
        </w:rPr>
        <w:drawing>
          <wp:inline distT="0" distB="0" distL="0" distR="0">
            <wp:extent cx="855133" cy="525082"/>
            <wp:effectExtent l="0" t="0" r="0" b="0"/>
            <wp:docPr id="60078104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078104" name="Immagine 60078104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1241" cy="5349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2416" w:rsidRPr="003F2416" w:rsidRDefault="003F2416" w:rsidP="008F2EFE">
      <w:pPr>
        <w:ind w:left="-567" w:right="-574"/>
        <w:rPr>
          <w:rStyle w:val="Enfasigrassetto"/>
          <w:rFonts w:cstheme="minorHAnsi"/>
          <w:i/>
          <w:iCs/>
          <w:color w:val="000000" w:themeColor="text1"/>
        </w:rPr>
      </w:pPr>
    </w:p>
    <w:p w:rsidR="00EE12B8" w:rsidRPr="003F2416" w:rsidRDefault="00EE12B8" w:rsidP="008F2EFE">
      <w:pPr>
        <w:ind w:left="-567" w:right="-574"/>
        <w:rPr>
          <w:rFonts w:cstheme="minorHAnsi"/>
          <w:color w:val="000000" w:themeColor="text1"/>
        </w:rPr>
      </w:pPr>
      <w:r w:rsidRPr="003F2416">
        <w:rPr>
          <w:rStyle w:val="Enfasigrassetto"/>
          <w:rFonts w:cstheme="minorHAnsi"/>
          <w:i/>
          <w:iCs/>
          <w:color w:val="000000" w:themeColor="text1"/>
        </w:rPr>
        <w:t>M</w:t>
      </w:r>
      <w:r w:rsidRPr="003F2416">
        <w:rPr>
          <w:rStyle w:val="Enfasigrassetto"/>
          <w:rFonts w:cstheme="minorHAnsi"/>
          <w:i/>
          <w:iCs/>
          <w:color w:val="000000" w:themeColor="text1"/>
        </w:rPr>
        <w:t xml:space="preserve">odifiche delle Norme </w:t>
      </w:r>
      <w:proofErr w:type="gramStart"/>
      <w:r w:rsidRPr="003F2416">
        <w:rPr>
          <w:rStyle w:val="Enfasigrassetto"/>
          <w:rFonts w:cstheme="minorHAnsi"/>
          <w:i/>
          <w:iCs/>
          <w:color w:val="000000" w:themeColor="text1"/>
        </w:rPr>
        <w:t>Tecniche  di</w:t>
      </w:r>
      <w:proofErr w:type="gramEnd"/>
      <w:r w:rsidRPr="003F2416">
        <w:rPr>
          <w:rStyle w:val="Enfasigrassetto"/>
          <w:rFonts w:cstheme="minorHAnsi"/>
          <w:i/>
          <w:iCs/>
          <w:color w:val="000000" w:themeColor="text1"/>
        </w:rPr>
        <w:t xml:space="preserve"> Attuazione del Piano Regolatore di Roma</w:t>
      </w:r>
      <w:r w:rsidRPr="003F2416">
        <w:rPr>
          <w:rStyle w:val="Enfasicorsivo"/>
          <w:rFonts w:cstheme="minorHAnsi"/>
          <w:color w:val="000000" w:themeColor="text1"/>
        </w:rPr>
        <w:t xml:space="preserve"> adottate dall'Assemblea Capitolina l'11 dicembre 2024</w:t>
      </w:r>
      <w:r w:rsidRPr="003F2416">
        <w:rPr>
          <w:rFonts w:cstheme="minorHAnsi"/>
          <w:color w:val="000000" w:themeColor="text1"/>
        </w:rPr>
        <w:t xml:space="preserve"> </w:t>
      </w:r>
    </w:p>
    <w:p w:rsidR="00EE12B8" w:rsidRPr="003F2416" w:rsidRDefault="00EE12B8" w:rsidP="008F2EFE">
      <w:pPr>
        <w:ind w:left="-567" w:right="-574"/>
        <w:rPr>
          <w:rFonts w:cstheme="minorHAnsi"/>
          <w:color w:val="000000" w:themeColor="text1"/>
        </w:rPr>
      </w:pPr>
    </w:p>
    <w:p w:rsidR="00192708" w:rsidRPr="003F2416" w:rsidRDefault="00AD5DC6" w:rsidP="008F2EFE">
      <w:pPr>
        <w:ind w:left="-567" w:right="-574"/>
        <w:rPr>
          <w:rFonts w:cstheme="minorHAnsi"/>
          <w:b/>
          <w:bCs/>
          <w:color w:val="000000" w:themeColor="text1"/>
        </w:rPr>
      </w:pPr>
      <w:r w:rsidRPr="003F2416">
        <w:rPr>
          <w:rFonts w:cstheme="minorHAnsi"/>
          <w:b/>
          <w:bCs/>
          <w:color w:val="000000" w:themeColor="text1"/>
        </w:rPr>
        <w:t xml:space="preserve"> Interventi consentiti nelle componenti</w:t>
      </w:r>
      <w:r w:rsidR="00EE12B8" w:rsidRPr="003F2416">
        <w:rPr>
          <w:rFonts w:cstheme="minorHAnsi"/>
          <w:b/>
          <w:bCs/>
          <w:color w:val="000000" w:themeColor="text1"/>
        </w:rPr>
        <w:t xml:space="preserve"> della città storica (confronto </w:t>
      </w:r>
      <w:r w:rsidR="00EE12B8" w:rsidRPr="003F2416">
        <w:rPr>
          <w:rFonts w:eastAsia="Times New Roman" w:cstheme="minorHAnsi"/>
          <w:b/>
          <w:bCs/>
          <w:color w:val="000000" w:themeColor="text1"/>
          <w:kern w:val="0"/>
          <w:lang w:eastAsia="it-IT"/>
          <w14:ligatures w14:val="none"/>
        </w:rPr>
        <w:t>NTA PRG 2008</w:t>
      </w:r>
      <w:r w:rsidR="00EE12B8" w:rsidRPr="003F2416">
        <w:rPr>
          <w:rFonts w:eastAsia="Times New Roman" w:cstheme="minorHAnsi"/>
          <w:b/>
          <w:bCs/>
          <w:color w:val="000000" w:themeColor="text1"/>
          <w:kern w:val="0"/>
          <w:lang w:eastAsia="it-IT"/>
          <w14:ligatures w14:val="none"/>
        </w:rPr>
        <w:t xml:space="preserve"> - </w:t>
      </w:r>
      <w:r w:rsidR="00EE12B8" w:rsidRPr="003F2416">
        <w:rPr>
          <w:rFonts w:eastAsia="Times New Roman" w:cstheme="minorHAnsi"/>
          <w:b/>
          <w:bCs/>
          <w:color w:val="000000" w:themeColor="text1"/>
          <w:kern w:val="0"/>
          <w:lang w:eastAsia="it-IT"/>
          <w14:ligatures w14:val="none"/>
        </w:rPr>
        <w:t>NTA PRG adottate 2024</w:t>
      </w:r>
      <w:r w:rsidR="00EE12B8" w:rsidRPr="003F2416">
        <w:rPr>
          <w:rFonts w:eastAsia="Times New Roman" w:cstheme="minorHAnsi"/>
          <w:b/>
          <w:bCs/>
          <w:color w:val="000000" w:themeColor="text1"/>
          <w:kern w:val="0"/>
          <w:lang w:eastAsia="it-IT"/>
          <w14:ligatures w14:val="none"/>
        </w:rPr>
        <w:t>)</w:t>
      </w:r>
    </w:p>
    <w:p w:rsidR="00AD5DC6" w:rsidRPr="003F2416" w:rsidRDefault="00AD5DC6" w:rsidP="008F2EFE">
      <w:pPr>
        <w:ind w:left="-567" w:right="-574"/>
        <w:rPr>
          <w:rFonts w:cstheme="minorHAnsi"/>
          <w:color w:val="000000" w:themeColor="text1"/>
        </w:rPr>
      </w:pPr>
    </w:p>
    <w:tbl>
      <w:tblPr>
        <w:tblStyle w:val="Grigliatabella"/>
        <w:tblW w:w="11057" w:type="dxa"/>
        <w:tblInd w:w="-856" w:type="dxa"/>
        <w:tblLook w:val="04A0" w:firstRow="1" w:lastRow="0" w:firstColumn="1" w:lastColumn="0" w:noHBand="0" w:noVBand="1"/>
      </w:tblPr>
      <w:tblGrid>
        <w:gridCol w:w="1361"/>
        <w:gridCol w:w="2442"/>
        <w:gridCol w:w="2334"/>
        <w:gridCol w:w="2450"/>
        <w:gridCol w:w="2470"/>
      </w:tblGrid>
      <w:tr w:rsidR="003F2416" w:rsidRPr="003F2416" w:rsidTr="00DB66E8">
        <w:tc>
          <w:tcPr>
            <w:tcW w:w="1361" w:type="dxa"/>
          </w:tcPr>
          <w:p w:rsidR="00C97428" w:rsidRPr="003F2416" w:rsidRDefault="00C97428" w:rsidP="00B73CA0">
            <w:pPr>
              <w:rPr>
                <w:rFonts w:cstheme="minorHAnsi"/>
                <w:b/>
                <w:bCs/>
                <w:color w:val="0070C0"/>
                <w:sz w:val="16"/>
                <w:szCs w:val="16"/>
              </w:rPr>
            </w:pPr>
          </w:p>
        </w:tc>
        <w:tc>
          <w:tcPr>
            <w:tcW w:w="2442" w:type="dxa"/>
          </w:tcPr>
          <w:p w:rsidR="00C97428" w:rsidRPr="003F2416" w:rsidRDefault="00C97428" w:rsidP="00B73CA0">
            <w:pPr>
              <w:rPr>
                <w:rFonts w:eastAsia="Times New Roman" w:cstheme="minorHAnsi"/>
                <w:b/>
                <w:bCs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b/>
                <w:bCs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 xml:space="preserve">NTA PRG 2008 </w:t>
            </w:r>
          </w:p>
        </w:tc>
        <w:tc>
          <w:tcPr>
            <w:tcW w:w="2334" w:type="dxa"/>
          </w:tcPr>
          <w:p w:rsidR="00C97428" w:rsidRPr="003F2416" w:rsidRDefault="00C97428" w:rsidP="00B73CA0">
            <w:pPr>
              <w:rPr>
                <w:rFonts w:cstheme="minorHAnsi"/>
                <w:b/>
                <w:bCs/>
                <w:color w:val="0070C0"/>
                <w:sz w:val="16"/>
                <w:szCs w:val="16"/>
              </w:rPr>
            </w:pPr>
            <w:r w:rsidRPr="003F2416">
              <w:rPr>
                <w:rFonts w:eastAsia="Times New Roman" w:cstheme="minorHAnsi"/>
                <w:b/>
                <w:bCs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 xml:space="preserve">NTA PRG </w:t>
            </w:r>
            <w:r w:rsidR="00692F91" w:rsidRPr="003F2416">
              <w:rPr>
                <w:rFonts w:eastAsia="Times New Roman" w:cstheme="minorHAnsi"/>
                <w:b/>
                <w:bCs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 xml:space="preserve">adottate </w:t>
            </w:r>
            <w:r w:rsidRPr="003F2416">
              <w:rPr>
                <w:rFonts w:eastAsia="Times New Roman" w:cstheme="minorHAnsi"/>
                <w:b/>
                <w:bCs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>2024</w:t>
            </w:r>
          </w:p>
        </w:tc>
        <w:tc>
          <w:tcPr>
            <w:tcW w:w="2450" w:type="dxa"/>
          </w:tcPr>
          <w:p w:rsidR="00C97428" w:rsidRPr="003F2416" w:rsidRDefault="00C97428" w:rsidP="00B73CA0">
            <w:pPr>
              <w:rPr>
                <w:rFonts w:cstheme="minorHAnsi"/>
                <w:b/>
                <w:bCs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b/>
                <w:bCs/>
                <w:color w:val="0070C0"/>
                <w:sz w:val="16"/>
                <w:szCs w:val="16"/>
              </w:rPr>
              <w:t xml:space="preserve">NTA PRG 2008  </w:t>
            </w:r>
          </w:p>
        </w:tc>
        <w:tc>
          <w:tcPr>
            <w:tcW w:w="2470" w:type="dxa"/>
          </w:tcPr>
          <w:p w:rsidR="00C97428" w:rsidRPr="003F2416" w:rsidRDefault="00C97428" w:rsidP="00B73CA0">
            <w:pPr>
              <w:rPr>
                <w:rFonts w:cstheme="minorHAnsi"/>
                <w:b/>
                <w:bCs/>
                <w:color w:val="0070C0"/>
                <w:sz w:val="16"/>
                <w:szCs w:val="16"/>
              </w:rPr>
            </w:pPr>
            <w:r w:rsidRPr="003F2416">
              <w:rPr>
                <w:rFonts w:eastAsia="Times New Roman" w:cstheme="minorHAnsi"/>
                <w:b/>
                <w:bCs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 xml:space="preserve">NTA PRG </w:t>
            </w:r>
            <w:r w:rsidR="00692F91" w:rsidRPr="003F2416">
              <w:rPr>
                <w:rFonts w:eastAsia="Times New Roman" w:cstheme="minorHAnsi"/>
                <w:b/>
                <w:bCs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 xml:space="preserve">adottate </w:t>
            </w:r>
            <w:r w:rsidRPr="003F2416">
              <w:rPr>
                <w:rFonts w:eastAsia="Times New Roman" w:cstheme="minorHAnsi"/>
                <w:b/>
                <w:bCs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>2024</w:t>
            </w:r>
          </w:p>
        </w:tc>
      </w:tr>
      <w:tr w:rsidR="00EE12B8" w:rsidRPr="003F2416" w:rsidTr="00DB66E8">
        <w:tc>
          <w:tcPr>
            <w:tcW w:w="1361" w:type="dxa"/>
          </w:tcPr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  <w:t>CITTA’ STORICA</w:t>
            </w: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 xml:space="preserve"> </w:t>
            </w:r>
            <w:r w:rsidRPr="003F2416"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  <w:t>ART. 24</w:t>
            </w:r>
          </w:p>
        </w:tc>
        <w:tc>
          <w:tcPr>
            <w:tcW w:w="2442" w:type="dxa"/>
          </w:tcPr>
          <w:p w:rsidR="00C97428" w:rsidRPr="003F2416" w:rsidRDefault="00C97428" w:rsidP="00C97428">
            <w:pPr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</w:pPr>
            <w:proofErr w:type="gramStart"/>
            <w:r w:rsidRPr="003F2416"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  <w:t>Comma  5</w:t>
            </w:r>
            <w:proofErr w:type="gramEnd"/>
          </w:p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Fatto salvo quanto più specificatamente previsto nelle norme di componente – e in particolare dagli articoli 25 e 36-, sugli edifici esistenti di Città storica sono ammesse, in generale, le seguenti categorie d’intervento, come definite all’art. 9:</w:t>
            </w: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br/>
              <w:t>a) su tutti gli edifici sono sempre consentiti gli interventi di categoria MO (Manutenzione ordinaria) MS (Manutenzione straordinaria) RC (restauro conservativo</w:t>
            </w:r>
            <w:proofErr w:type="gramStart"/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) ,</w:t>
            </w:r>
            <w:proofErr w:type="gramEnd"/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 xml:space="preserve"> come definiti dall’art. 9;</w:t>
            </w:r>
          </w:p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br/>
              <w:t>b) sui beni individuati nella Carta per la qualità, ivi compresi i beni tutelati ai sensi di legge, sono consentiti gli interventi di cui all’art. 16, comma 3</w:t>
            </w:r>
          </w:p>
          <w:p w:rsidR="00C97428" w:rsidRPr="003F2416" w:rsidRDefault="00C97428" w:rsidP="00C97428">
            <w:pPr>
              <w:pStyle w:val="p1"/>
              <w:rPr>
                <w:rFonts w:asciiTheme="minorHAnsi" w:eastAsiaTheme="minorHAnsi" w:hAnsiTheme="minorHAnsi" w:cstheme="minorHAnsi"/>
                <w:color w:val="000000" w:themeColor="text1"/>
                <w:kern w:val="2"/>
                <w:lang w:eastAsia="en-US"/>
                <w14:ligatures w14:val="standardContextual"/>
              </w:rPr>
            </w:pPr>
            <w:r w:rsidRPr="003F2416">
              <w:rPr>
                <w:rFonts w:asciiTheme="minorHAnsi" w:eastAsiaTheme="minorHAnsi" w:hAnsiTheme="minorHAnsi" w:cstheme="minorHAnsi"/>
                <w:color w:val="000000" w:themeColor="text1"/>
                <w:kern w:val="2"/>
                <w:lang w:eastAsia="en-US"/>
                <w14:ligatures w14:val="standardContextual"/>
              </w:rPr>
              <w:t xml:space="preserve">(art. </w:t>
            </w:r>
            <w:proofErr w:type="gramStart"/>
            <w:r w:rsidRPr="003F2416">
              <w:rPr>
                <w:rFonts w:asciiTheme="minorHAnsi" w:eastAsiaTheme="minorHAnsi" w:hAnsiTheme="minorHAnsi" w:cstheme="minorHAnsi"/>
                <w:color w:val="000000" w:themeColor="text1"/>
                <w:kern w:val="2"/>
                <w:lang w:eastAsia="en-US"/>
                <w14:ligatures w14:val="standardContextual"/>
              </w:rPr>
              <w:t>16  3</w:t>
            </w:r>
            <w:proofErr w:type="gramEnd"/>
            <w:r w:rsidRPr="003F2416">
              <w:rPr>
                <w:rFonts w:asciiTheme="minorHAnsi" w:eastAsiaTheme="minorHAnsi" w:hAnsiTheme="minorHAnsi" w:cstheme="minorHAnsi"/>
                <w:color w:val="000000" w:themeColor="text1"/>
                <w:kern w:val="2"/>
                <w:lang w:eastAsia="en-US"/>
                <w14:ligatures w14:val="standardContextual"/>
              </w:rPr>
              <w:t>. La disciplina degli elementi di cui al comma 1 è quella delle componenti di PRG nelle quali tali elementi ricadono, nel rispetto di quanto previsto nella Parte seconda e nella Parte terza dell’elaborato G2. “Guida per la qualità degli interventi”</w:t>
            </w:r>
            <w:r w:rsidR="00692F91" w:rsidRPr="003F2416">
              <w:rPr>
                <w:rFonts w:asciiTheme="minorHAnsi" w:eastAsiaTheme="minorHAnsi" w:hAnsiTheme="minorHAnsi" w:cstheme="minorHAnsi"/>
                <w:color w:val="000000" w:themeColor="text1"/>
                <w:kern w:val="2"/>
                <w:lang w:eastAsia="en-US"/>
                <w14:ligatures w14:val="standardContextual"/>
              </w:rPr>
              <w:t>)</w:t>
            </w:r>
            <w:r w:rsidRPr="003F2416">
              <w:rPr>
                <w:rFonts w:asciiTheme="minorHAnsi" w:eastAsiaTheme="minorHAnsi" w:hAnsiTheme="minorHAnsi" w:cstheme="minorHAnsi"/>
                <w:color w:val="000000" w:themeColor="text1"/>
                <w:kern w:val="2"/>
                <w:lang w:eastAsia="en-US"/>
                <w14:ligatures w14:val="standardContextual"/>
              </w:rPr>
              <w:t>.</w:t>
            </w:r>
          </w:p>
          <w:p w:rsidR="00C97428" w:rsidRPr="003F2416" w:rsidRDefault="00C97428" w:rsidP="00C97428">
            <w:pPr>
              <w:pStyle w:val="NormaleWeb"/>
              <w:rPr>
                <w:rFonts w:asciiTheme="minorHAnsi" w:eastAsiaTheme="minorHAnsi" w:hAnsiTheme="minorHAnsi" w:cstheme="minorHAnsi"/>
                <w:color w:val="000000" w:themeColor="text1"/>
                <w:kern w:val="2"/>
                <w:sz w:val="16"/>
                <w:szCs w:val="16"/>
                <w:lang w:eastAsia="en-US"/>
                <w14:ligatures w14:val="standardContextual"/>
              </w:rPr>
            </w:pPr>
            <w:r w:rsidRPr="003F2416">
              <w:rPr>
                <w:rFonts w:asciiTheme="minorHAnsi" w:eastAsiaTheme="minorHAnsi" w:hAnsiTheme="minorHAnsi" w:cstheme="minorHAnsi"/>
                <w:color w:val="000000" w:themeColor="text1"/>
                <w:kern w:val="2"/>
                <w:sz w:val="16"/>
                <w:szCs w:val="16"/>
                <w:lang w:eastAsia="en-US"/>
                <w14:ligatures w14:val="standardContextual"/>
              </w:rPr>
              <w:t>c) sugli edifici d’interesse storico-architettonico, non inseriti nella Carta per la qualità, sono consentiti interventi di categoria RE1</w:t>
            </w:r>
            <w:r w:rsidR="00692F91" w:rsidRPr="003F2416">
              <w:rPr>
                <w:rFonts w:asciiTheme="minorHAnsi" w:eastAsiaTheme="minorHAnsi" w:hAnsiTheme="minorHAnsi" w:cstheme="minorHAnsi"/>
                <w:color w:val="000000" w:themeColor="text1"/>
                <w:kern w:val="2"/>
                <w:sz w:val="16"/>
                <w:szCs w:val="16"/>
                <w:lang w:eastAsia="en-US"/>
                <w14:ligatures w14:val="standardContextual"/>
              </w:rPr>
              <w:t xml:space="preserve"> </w:t>
            </w:r>
            <w:r w:rsidRPr="003F2416">
              <w:rPr>
                <w:rFonts w:asciiTheme="minorHAnsi" w:eastAsiaTheme="minorHAnsi" w:hAnsiTheme="minorHAnsi" w:cstheme="minorHAnsi"/>
                <w:color w:val="000000" w:themeColor="text1"/>
                <w:kern w:val="2"/>
                <w:sz w:val="16"/>
                <w:szCs w:val="16"/>
                <w:lang w:eastAsia="en-US"/>
                <w14:ligatures w14:val="standardContextual"/>
              </w:rPr>
              <w:t>(Ristrutturazione edilizia senza aumento della SUL)</w:t>
            </w:r>
            <w:r w:rsidRPr="003F2416">
              <w:rPr>
                <w:rFonts w:asciiTheme="minorHAnsi" w:eastAsiaTheme="minorHAnsi" w:hAnsiTheme="minorHAnsi" w:cstheme="minorHAnsi"/>
                <w:color w:val="000000" w:themeColor="text1"/>
                <w:kern w:val="2"/>
                <w:sz w:val="16"/>
                <w:szCs w:val="16"/>
                <w:lang w:eastAsia="en-US"/>
                <w14:ligatures w14:val="standardContextual"/>
              </w:rPr>
              <w:br/>
              <w:t xml:space="preserve">d) sugli edifici, o parti di essi, </w:t>
            </w:r>
            <w:r w:rsidRPr="003F2416">
              <w:rPr>
                <w:rFonts w:asciiTheme="minorHAnsi" w:eastAsiaTheme="minorHAnsi" w:hAnsiTheme="minorHAnsi" w:cstheme="minorHAnsi"/>
                <w:color w:val="000000" w:themeColor="text1"/>
                <w:kern w:val="2"/>
                <w:sz w:val="16"/>
                <w:szCs w:val="16"/>
                <w:u w:val="single"/>
                <w:lang w:eastAsia="en-US"/>
                <w14:ligatures w14:val="standardContextual"/>
              </w:rPr>
              <w:t>privi di interesse storico e architettonico, sin dall’origine o a seguito di irreversibili alterazioni, s</w:t>
            </w:r>
            <w:r w:rsidRPr="003F2416">
              <w:rPr>
                <w:rFonts w:asciiTheme="minorHAnsi" w:eastAsiaTheme="minorHAnsi" w:hAnsiTheme="minorHAnsi" w:cstheme="minorHAnsi"/>
                <w:color w:val="000000" w:themeColor="text1"/>
                <w:kern w:val="2"/>
                <w:sz w:val="16"/>
                <w:szCs w:val="16"/>
                <w:lang w:eastAsia="en-US"/>
                <w14:ligatures w14:val="standardContextual"/>
              </w:rPr>
              <w:t>ono consentiti interventi di categoria RE2, (Ristrutturazione edilizia con aumento della SUL),DR (Demolizione Ricostruzione), AMP (Ampliamento),secondo le componenti in cui ricadono</w:t>
            </w:r>
          </w:p>
        </w:tc>
        <w:tc>
          <w:tcPr>
            <w:tcW w:w="2334" w:type="dxa"/>
          </w:tcPr>
          <w:p w:rsidR="00C97428" w:rsidRPr="003F2416" w:rsidRDefault="00C97428" w:rsidP="00C97428">
            <w:pPr>
              <w:pStyle w:val="NormaleWeb"/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Co. 5 Sugli edifici esistenti di Città storica sono ammesse, in generale, le categorie d’intervento, come definite all’art. 9, fatto salvo quanto più specificatamente previsto nelle norme di componente.</w:t>
            </w:r>
          </w:p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450" w:type="dxa"/>
          </w:tcPr>
          <w:p w:rsidR="00C97428" w:rsidRPr="003F2416" w:rsidRDefault="00C97428" w:rsidP="00C97428">
            <w:pPr>
              <w:rPr>
                <w:rFonts w:cstheme="minorHAnsi"/>
                <w:b/>
                <w:bCs/>
                <w:color w:val="000000" w:themeColor="text1"/>
                <w:sz w:val="16"/>
                <w:szCs w:val="16"/>
                <w:u w:val="single"/>
              </w:rPr>
            </w:pPr>
            <w:r w:rsidRPr="003F2416"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  <w:t>comma 6</w:t>
            </w: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 xml:space="preserve">. Gli interventi di categoria RE2, DR, AMP, sono ammessi </w:t>
            </w:r>
            <w:r w:rsidRPr="003F2416">
              <w:rPr>
                <w:rFonts w:cstheme="minorHAnsi"/>
                <w:color w:val="000000" w:themeColor="text1"/>
                <w:sz w:val="16"/>
                <w:szCs w:val="16"/>
                <w:u w:val="single"/>
              </w:rPr>
              <w:t>previa verifica</w:t>
            </w: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, da parte del Comune, dell’interesse storico-architettonico degli edifici esistenti</w:t>
            </w:r>
            <w:r w:rsidRPr="003F2416">
              <w:rPr>
                <w:rFonts w:cstheme="minorHAnsi"/>
                <w:color w:val="000000" w:themeColor="text1"/>
                <w:sz w:val="16"/>
                <w:szCs w:val="16"/>
                <w:u w:val="single"/>
              </w:rPr>
              <w:t>, da effettuare in base</w:t>
            </w: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 xml:space="preserve"> alle disposizioni di cui agli articoli 25, comma 5*, e 36, comma 5**, </w:t>
            </w:r>
            <w:r w:rsidRPr="003F2416"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  <w:t xml:space="preserve">e </w:t>
            </w:r>
            <w:r w:rsidRPr="003F2416">
              <w:rPr>
                <w:rFonts w:cstheme="minorHAnsi"/>
                <w:b/>
                <w:bCs/>
                <w:color w:val="000000" w:themeColor="text1"/>
                <w:sz w:val="16"/>
                <w:szCs w:val="16"/>
                <w:u w:val="single"/>
              </w:rPr>
              <w:t>ai criteri appositamente definiti nella “Guida per la qualità degli interventi”.</w:t>
            </w:r>
          </w:p>
          <w:p w:rsidR="00C97428" w:rsidRPr="003F2416" w:rsidRDefault="00C97428" w:rsidP="00C97428">
            <w:pPr>
              <w:pStyle w:val="Paragrafoelenco"/>
              <w:ind w:left="696"/>
              <w:rPr>
                <w:rFonts w:cstheme="minorHAnsi"/>
                <w:b/>
                <w:bCs/>
                <w:i/>
                <w:iCs/>
                <w:color w:val="000000" w:themeColor="text1"/>
                <w:sz w:val="16"/>
                <w:szCs w:val="16"/>
                <w:u w:val="single"/>
              </w:rPr>
            </w:pPr>
          </w:p>
          <w:p w:rsidR="00C97428" w:rsidRPr="003F2416" w:rsidRDefault="00C97428" w:rsidP="00C97428">
            <w:pPr>
              <w:rPr>
                <w:rFonts w:eastAsia="Times New Roman" w:cstheme="minorHAnsi"/>
                <w:i/>
                <w:iCs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cstheme="minorHAnsi"/>
                <w:b/>
                <w:bCs/>
                <w:i/>
                <w:iCs/>
                <w:color w:val="000000" w:themeColor="text1"/>
                <w:sz w:val="16"/>
                <w:szCs w:val="16"/>
                <w:u w:val="single"/>
              </w:rPr>
              <w:t>(</w:t>
            </w:r>
            <w:r w:rsidRPr="003F2416">
              <w:rPr>
                <w:rFonts w:eastAsia="Times New Roman" w:cstheme="minorHAnsi"/>
                <w:i/>
                <w:iCs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(*) art 24 Comma 5. Negli interventi di categoria RC e RE1, finalizzati alla valorizzazione funzionale degli edifici, sono possibili aumenti di SUL strettamente conseguenti al riuso di locali esistenti esclusi dal computo della SUL per effetto dell’art. 4, comma 1; le destinazioni d’uso della SUL aggiuntiva devono essere compatibili con le esigenze di preservazione dei caratteri d’interesse storico-architettonico degli edifici; i predetti locali, se interrati o semi-interrati, non possono essere destinati ad abitazioni o pubblici esercizi.</w:t>
            </w:r>
          </w:p>
          <w:p w:rsidR="00C97428" w:rsidRPr="003F2416" w:rsidRDefault="00C97428" w:rsidP="00C97428">
            <w:pPr>
              <w:pStyle w:val="p1"/>
              <w:rPr>
                <w:rFonts w:asciiTheme="minorHAnsi" w:hAnsiTheme="minorHAnsi" w:cstheme="minorHAnsi"/>
                <w:i/>
                <w:iCs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i/>
                <w:iCs/>
                <w:color w:val="000000" w:themeColor="text1"/>
              </w:rPr>
              <w:t xml:space="preserve">(**) art. 36 comma 5. Nuclei storici isolati </w:t>
            </w:r>
            <w:proofErr w:type="gramStart"/>
            <w:r w:rsidRPr="003F2416">
              <w:rPr>
                <w:rFonts w:asciiTheme="minorHAnsi" w:hAnsiTheme="minorHAnsi" w:cstheme="minorHAnsi"/>
                <w:i/>
                <w:iCs/>
                <w:color w:val="000000" w:themeColor="text1"/>
              </w:rPr>
              <w:t>( (</w:t>
            </w:r>
            <w:proofErr w:type="gramEnd"/>
            <w:r w:rsidRPr="003F2416">
              <w:rPr>
                <w:rFonts w:asciiTheme="minorHAnsi" w:hAnsiTheme="minorHAnsi" w:cstheme="minorHAnsi"/>
                <w:i/>
                <w:iCs/>
                <w:color w:val="000000" w:themeColor="text1"/>
              </w:rPr>
              <w:t>T T1 10 0) )comma 5 . idem</w:t>
            </w:r>
          </w:p>
          <w:p w:rsidR="00C97428" w:rsidRPr="003F2416" w:rsidRDefault="00C97428" w:rsidP="00C97428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470" w:type="dxa"/>
          </w:tcPr>
          <w:p w:rsidR="00C97428" w:rsidRPr="003F2416" w:rsidRDefault="00A36F7C" w:rsidP="00C97428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  <w:u w:val="single"/>
              </w:rPr>
              <w:t xml:space="preserve">Comma 6 </w:t>
            </w:r>
            <w:r w:rsidR="00C97428" w:rsidRPr="003F2416">
              <w:rPr>
                <w:rFonts w:asciiTheme="minorHAnsi" w:hAnsiTheme="minorHAnsi" w:cstheme="minorHAnsi"/>
                <w:color w:val="000000" w:themeColor="text1"/>
                <w:u w:val="single"/>
              </w:rPr>
              <w:t>Nel caso di Ristrutturazione edilizia con ampliamento, demolizione e ricostruzione</w:t>
            </w:r>
            <w:r w:rsidR="00C97428" w:rsidRPr="003F2416">
              <w:rPr>
                <w:rFonts w:asciiTheme="minorHAnsi" w:hAnsiTheme="minorHAnsi" w:cstheme="minorHAnsi"/>
                <w:color w:val="000000" w:themeColor="text1"/>
              </w:rPr>
              <w:t xml:space="preserve"> o di ripristino di edifici crollati o demoliti con aumento di SUL o del </w:t>
            </w:r>
            <w:proofErr w:type="spellStart"/>
            <w:r w:rsidR="00C97428" w:rsidRPr="003F2416">
              <w:rPr>
                <w:rFonts w:asciiTheme="minorHAnsi" w:hAnsiTheme="minorHAnsi" w:cstheme="minorHAnsi"/>
                <w:color w:val="000000" w:themeColor="text1"/>
              </w:rPr>
              <w:t>Vft</w:t>
            </w:r>
            <w:proofErr w:type="spellEnd"/>
            <w:r w:rsidR="00C97428" w:rsidRPr="003F2416">
              <w:rPr>
                <w:rFonts w:asciiTheme="minorHAnsi" w:hAnsiTheme="minorHAnsi" w:cstheme="minorHAnsi"/>
                <w:color w:val="000000" w:themeColor="text1"/>
              </w:rPr>
              <w:t xml:space="preserve"> ovvero con modifica anche di un solo elemento tra sagoma, prospetti, sedime e caratteristiche planivolumetriche e tipologiche dell’edifico preesistente:</w:t>
            </w:r>
          </w:p>
          <w:p w:rsidR="00C97428" w:rsidRPr="003F2416" w:rsidRDefault="00C97428" w:rsidP="00C97428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non censiti nell’elaborato gestionale G1. Carta per la qualità, è obbligatorio acquisire il parere del “Comitato per la qualità urbana” e edilizia”, (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Co.Q.</w:t>
            </w:r>
            <w:proofErr w:type="gramStart"/>
            <w:r w:rsidRPr="003F2416">
              <w:rPr>
                <w:rFonts w:asciiTheme="minorHAnsi" w:hAnsiTheme="minorHAnsi" w:cstheme="minorHAnsi"/>
                <w:color w:val="000000" w:themeColor="text1"/>
              </w:rPr>
              <w:t>U.E</w:t>
            </w:r>
            <w:proofErr w:type="spellEnd"/>
            <w:proofErr w:type="gram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) ai sensi del comma 12; dovrà, altresì, esprimersi nell’ambito della procedura di rilascio del titolo abilitativo, sulla verifica dell’interesse storico-architettonico degli edifici esistenti. </w:t>
            </w:r>
          </w:p>
          <w:p w:rsidR="00C97428" w:rsidRPr="003F2416" w:rsidRDefault="00C97428" w:rsidP="00C97428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Per gli immobili censiti in Carta per la qualità </w:t>
            </w:r>
            <w:r w:rsidRPr="003F2416">
              <w:rPr>
                <w:rFonts w:asciiTheme="minorHAnsi" w:hAnsiTheme="minorHAnsi" w:cstheme="minorHAnsi"/>
                <w:color w:val="000000" w:themeColor="text1"/>
                <w:u w:val="single"/>
              </w:rPr>
              <w:t>tale verifica,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nell’ambito della procedura di rilascio del titolo abilitativo, è di competenza della Sovrintendenza Capitolina.</w:t>
            </w:r>
          </w:p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EE12B8" w:rsidRPr="003F2416" w:rsidTr="00DB66E8">
        <w:tc>
          <w:tcPr>
            <w:tcW w:w="1361" w:type="dxa"/>
          </w:tcPr>
          <w:p w:rsidR="00C97428" w:rsidRPr="003F2416" w:rsidRDefault="00A36F7C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  <w:t xml:space="preserve">Città consolidata Art.45 </w:t>
            </w: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Tessuti della Città consolidata</w:t>
            </w:r>
          </w:p>
        </w:tc>
        <w:tc>
          <w:tcPr>
            <w:tcW w:w="2442" w:type="dxa"/>
          </w:tcPr>
          <w:p w:rsidR="00A36F7C" w:rsidRPr="003F2416" w:rsidRDefault="00A36F7C" w:rsidP="00A36F7C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proofErr w:type="gramStart"/>
            <w:r w:rsidRPr="003F241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Comma  3</w:t>
            </w:r>
            <w:proofErr w:type="gram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. Nei Tessuti di cui al comma 2 sono sempre consentiti gli interventi di categoria MO </w:t>
            </w:r>
            <w:r w:rsidRPr="003F241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(</w:t>
            </w:r>
            <w:r w:rsidRPr="003F2416">
              <w:rPr>
                <w:rStyle w:val="Enfasigrassetto"/>
                <w:rFonts w:asciiTheme="minorHAnsi" w:hAnsiTheme="minorHAnsi" w:cstheme="minorHAnsi"/>
                <w:b w:val="0"/>
                <w:bCs w:val="0"/>
                <w:color w:val="000000" w:themeColor="text1"/>
              </w:rPr>
              <w:t>Manutenzione ordinaria</w:t>
            </w:r>
            <w:r w:rsidRPr="003F2416">
              <w:rPr>
                <w:rStyle w:val="Enfasigrassetto"/>
                <w:rFonts w:asciiTheme="minorHAnsi" w:hAnsiTheme="minorHAnsi" w:cstheme="minorHAnsi"/>
                <w:color w:val="000000" w:themeColor="text1"/>
              </w:rPr>
              <w:t>)</w:t>
            </w:r>
            <w:r w:rsidRPr="003F241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 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>MS (Manutenzione straordinaria)</w:t>
            </w:r>
            <w:r w:rsidRPr="003F241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 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RC (restauro conservativo) come definiti dall’art. 9. Gli interventi di categoria RE2, (Ristrutturazione edilizia con aumento della SUL), RE3, Demolizione e ricostruzione di un fabbricato, senza variazione di volumetria, sagoma ed area di sedime.   DR (Demolizione Ricostruzione), AMP (Ampliamento), NE </w:t>
            </w:r>
            <w:r w:rsidRPr="003F241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(n</w:t>
            </w:r>
            <w:r w:rsidRPr="003F2416">
              <w:rPr>
                <w:rStyle w:val="Enfasigrassetto"/>
                <w:rFonts w:asciiTheme="minorHAnsi" w:hAnsiTheme="minorHAnsi" w:cstheme="minorHAnsi"/>
                <w:b w:val="0"/>
                <w:bCs w:val="0"/>
                <w:color w:val="000000" w:themeColor="text1"/>
              </w:rPr>
              <w:t xml:space="preserve">uova </w:t>
            </w:r>
            <w:proofErr w:type="gramStart"/>
            <w:r w:rsidRPr="003F2416">
              <w:rPr>
                <w:rStyle w:val="Enfasigrassetto"/>
                <w:rFonts w:asciiTheme="minorHAnsi" w:hAnsiTheme="minorHAnsi" w:cstheme="minorHAnsi"/>
                <w:b w:val="0"/>
                <w:bCs w:val="0"/>
                <w:color w:val="000000" w:themeColor="text1"/>
              </w:rPr>
              <w:t xml:space="preserve">edificazione) </w:t>
            </w:r>
            <w:r w:rsidRPr="003F241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 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>come</w:t>
            </w:r>
            <w:proofErr w:type="gram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definiti 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lastRenderedPageBreak/>
              <w:t>dall’art.9, sono consentiti nei casi e alle condizioni stabilite nelle norme di tessuto e alle seguenti condizioni generali:</w:t>
            </w:r>
          </w:p>
          <w:p w:rsidR="00A36F7C" w:rsidRPr="003F2416" w:rsidRDefault="00A36F7C" w:rsidP="00A36F7C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a) </w:t>
            </w:r>
            <w:r w:rsidRPr="003F2416">
              <w:rPr>
                <w:rFonts w:asciiTheme="minorHAnsi" w:hAnsiTheme="minorHAnsi" w:cstheme="minorHAnsi"/>
                <w:color w:val="000000" w:themeColor="text1"/>
                <w:u w:val="single"/>
              </w:rPr>
              <w:t xml:space="preserve">gli interventi di categoria RE2, RE3, DR, </w:t>
            </w:r>
            <w:proofErr w:type="spellStart"/>
            <w:proofErr w:type="gramStart"/>
            <w:r w:rsidRPr="003F2416">
              <w:rPr>
                <w:rFonts w:asciiTheme="minorHAnsi" w:hAnsiTheme="minorHAnsi" w:cstheme="minorHAnsi"/>
                <w:color w:val="000000" w:themeColor="text1"/>
                <w:u w:val="single"/>
              </w:rPr>
              <w:t>AMP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>,sono</w:t>
            </w:r>
            <w:proofErr w:type="spellEnd"/>
            <w:proofErr w:type="gram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consentiti su edifici privi di valore storico-</w:t>
            </w:r>
          </w:p>
          <w:p w:rsidR="00A36F7C" w:rsidRPr="003F2416" w:rsidRDefault="00A36F7C" w:rsidP="00A36F7C">
            <w:pPr>
              <w:pStyle w:val="p1"/>
              <w:rPr>
                <w:rFonts w:asciiTheme="minorHAnsi" w:hAnsiTheme="minorHAnsi" w:cstheme="minorHAnsi"/>
                <w:color w:val="000000" w:themeColor="text1"/>
                <w:u w:val="single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architettonico, </w:t>
            </w:r>
            <w:r w:rsidRPr="003F2416">
              <w:rPr>
                <w:rFonts w:asciiTheme="minorHAnsi" w:hAnsiTheme="minorHAnsi" w:cstheme="minorHAnsi"/>
                <w:color w:val="000000" w:themeColor="text1"/>
                <w:u w:val="single"/>
              </w:rPr>
              <w:t>non tutelati ai sensi del D.LGT n. 42/2004 e non individuati nella Carta per la qualità;</w:t>
            </w:r>
          </w:p>
          <w:p w:rsidR="00A36F7C" w:rsidRPr="003F2416" w:rsidRDefault="00A36F7C" w:rsidP="00A36F7C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b) gli interventi di categoria NE sono consentiti su lotti già edificati o edificabili secondo le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pre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-vigenti destinazioni urbanistiche, senza aumento della SUL e del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Vft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rispettivamente preesistenti o</w:t>
            </w:r>
          </w:p>
          <w:p w:rsidR="00A36F7C" w:rsidRPr="003F2416" w:rsidRDefault="00A36F7C" w:rsidP="00A36F7C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ammissibili</w:t>
            </w:r>
          </w:p>
          <w:p w:rsidR="00C97428" w:rsidRPr="003F2416" w:rsidRDefault="00C97428" w:rsidP="00C97428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2334" w:type="dxa"/>
          </w:tcPr>
          <w:p w:rsidR="00A36F7C" w:rsidRPr="003F2416" w:rsidRDefault="00A36F7C" w:rsidP="00A36F7C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lastRenderedPageBreak/>
              <w:t>Comma 3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Nei Tessuti di cui al comma 2 sono sempre consentiti gli interventi di Manutenzione ordinaria, Manutenzione straordinaria, Restauro e Risanamento conservativo, Ristrutturazione edilizia alle condizioni stabilite nelle norme di tessuto. </w:t>
            </w:r>
            <w:proofErr w:type="gramStart"/>
            <w:r w:rsidRPr="003F2416">
              <w:rPr>
                <w:rFonts w:asciiTheme="minorHAnsi" w:hAnsiTheme="minorHAnsi" w:cstheme="minorHAnsi"/>
                <w:color w:val="000000" w:themeColor="text1"/>
              </w:rPr>
              <w:t>E’</w:t>
            </w:r>
            <w:proofErr w:type="gram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, altresì, ammessa la Nuova Costruzione su lotti già edificati o edificabili secondo le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pre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-vigenti destinazioni urbanistiche, senza aumento della SUL e del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Vft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lastRenderedPageBreak/>
              <w:t>rispettivamente preesistenti o ammissibili.</w:t>
            </w:r>
          </w:p>
          <w:p w:rsidR="00A36F7C" w:rsidRPr="003F2416" w:rsidRDefault="00A36F7C" w:rsidP="00A36F7C">
            <w:pPr>
              <w:pStyle w:val="p1"/>
              <w:rPr>
                <w:rFonts w:asciiTheme="minorHAnsi" w:hAnsiTheme="minorHAnsi" w:cstheme="minorHAnsi"/>
                <w:color w:val="000000" w:themeColor="text1"/>
                <w:u w:val="single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  <w:u w:val="single"/>
              </w:rPr>
              <w:t>In nessun tessuto dei successivi articoli sono poste restrizioni e neanche citazioni della Carta per la Qualità e dell’elaborato G2</w:t>
            </w:r>
          </w:p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450" w:type="dxa"/>
          </w:tcPr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470" w:type="dxa"/>
          </w:tcPr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EE12B8" w:rsidRPr="003F2416" w:rsidTr="00DB66E8">
        <w:tc>
          <w:tcPr>
            <w:tcW w:w="1361" w:type="dxa"/>
          </w:tcPr>
          <w:p w:rsidR="00A36F7C" w:rsidRPr="003F2416" w:rsidRDefault="00A36F7C" w:rsidP="00A36F7C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Art.</w:t>
            </w:r>
            <w:proofErr w:type="gramStart"/>
            <w:r w:rsidRPr="003F241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46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 .</w:t>
            </w:r>
            <w:proofErr w:type="gram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Tessuti di espansione novecentesca a tipologia definita e a media densità insediativa (T1)</w:t>
            </w:r>
          </w:p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442" w:type="dxa"/>
          </w:tcPr>
          <w:p w:rsidR="00A36F7C" w:rsidRPr="003F2416" w:rsidRDefault="00A36F7C" w:rsidP="00A36F7C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Comma 3 Oltre agli interventi di categoria MO, MS, RC, RE1, sono ammessi gli interventi di categoria RE2, RE3, DR e AMP, NE, alle seguenti condizioni specifiche:</w:t>
            </w:r>
          </w:p>
          <w:p w:rsidR="00A36F7C" w:rsidRPr="003F2416" w:rsidRDefault="00A36F7C" w:rsidP="00A36F7C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u w:val="single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u w:val="single"/>
                <w:lang w:eastAsia="it-IT"/>
                <w14:ligatures w14:val="none"/>
              </w:rPr>
              <w:t>a) per gli interventi di categoria DR, l’edificio riedificato presenti le stesse caratteristiche tipo-morfologiche dell’edificio preesistente: giacitura nel lotto, ingombro a terra, altezza, distacchi minimi, salvo i casi in cui si renda necessaria una maggiore coerenza con le regole compositive del tessuto o del complesso edilizio di appartenenza;</w:t>
            </w:r>
          </w:p>
          <w:p w:rsidR="00C97428" w:rsidRPr="003F2416" w:rsidRDefault="00C97428" w:rsidP="00C97428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2334" w:type="dxa"/>
          </w:tcPr>
          <w:p w:rsidR="00A36F7C" w:rsidRPr="003F2416" w:rsidRDefault="00A36F7C" w:rsidP="00A36F7C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Nessun riferimento a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CpQ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né indicazioni su caratteristiche da rispettare rispetto a edificio preesistente</w:t>
            </w:r>
          </w:p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450" w:type="dxa"/>
          </w:tcPr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470" w:type="dxa"/>
          </w:tcPr>
          <w:p w:rsidR="00C97428" w:rsidRPr="003F2416" w:rsidRDefault="00C97428" w:rsidP="00C9742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3F2416" w:rsidRPr="003F2416" w:rsidTr="009875B4">
        <w:tc>
          <w:tcPr>
            <w:tcW w:w="1361" w:type="dxa"/>
          </w:tcPr>
          <w:p w:rsidR="00EE12B8" w:rsidRPr="003F2416" w:rsidRDefault="00EE12B8" w:rsidP="009875B4">
            <w:pPr>
              <w:rPr>
                <w:rFonts w:cstheme="minorHAnsi"/>
                <w:b/>
                <w:bCs/>
                <w:color w:val="0070C0"/>
                <w:sz w:val="16"/>
                <w:szCs w:val="16"/>
              </w:rPr>
            </w:pPr>
          </w:p>
        </w:tc>
        <w:tc>
          <w:tcPr>
            <w:tcW w:w="2442" w:type="dxa"/>
          </w:tcPr>
          <w:p w:rsidR="00EE12B8" w:rsidRPr="003F2416" w:rsidRDefault="00EE12B8" w:rsidP="009875B4">
            <w:pPr>
              <w:rPr>
                <w:rFonts w:eastAsia="Times New Roman" w:cstheme="minorHAnsi"/>
                <w:b/>
                <w:bCs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b/>
                <w:bCs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 xml:space="preserve">NTA PRG 2008 </w:t>
            </w:r>
          </w:p>
        </w:tc>
        <w:tc>
          <w:tcPr>
            <w:tcW w:w="2334" w:type="dxa"/>
          </w:tcPr>
          <w:p w:rsidR="00EE12B8" w:rsidRPr="003F2416" w:rsidRDefault="00EE12B8" w:rsidP="009875B4">
            <w:pPr>
              <w:rPr>
                <w:rFonts w:cstheme="minorHAnsi"/>
                <w:b/>
                <w:bCs/>
                <w:color w:val="0070C0"/>
                <w:sz w:val="16"/>
                <w:szCs w:val="16"/>
              </w:rPr>
            </w:pPr>
            <w:r w:rsidRPr="003F2416">
              <w:rPr>
                <w:rFonts w:eastAsia="Times New Roman" w:cstheme="minorHAnsi"/>
                <w:b/>
                <w:bCs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>NTA PRG adottate 2024</w:t>
            </w:r>
          </w:p>
        </w:tc>
        <w:tc>
          <w:tcPr>
            <w:tcW w:w="2450" w:type="dxa"/>
          </w:tcPr>
          <w:p w:rsidR="00EE12B8" w:rsidRPr="003F2416" w:rsidRDefault="00EE12B8" w:rsidP="009875B4">
            <w:pPr>
              <w:rPr>
                <w:rFonts w:cstheme="minorHAnsi"/>
                <w:b/>
                <w:bCs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b/>
                <w:bCs/>
                <w:color w:val="0070C0"/>
                <w:sz w:val="16"/>
                <w:szCs w:val="16"/>
              </w:rPr>
              <w:t xml:space="preserve">NTA PRG 2008  </w:t>
            </w:r>
          </w:p>
        </w:tc>
        <w:tc>
          <w:tcPr>
            <w:tcW w:w="2470" w:type="dxa"/>
          </w:tcPr>
          <w:p w:rsidR="00EE12B8" w:rsidRPr="003F2416" w:rsidRDefault="00EE12B8" w:rsidP="009875B4">
            <w:pPr>
              <w:rPr>
                <w:rFonts w:cstheme="minorHAnsi"/>
                <w:b/>
                <w:bCs/>
                <w:color w:val="0070C0"/>
                <w:sz w:val="16"/>
                <w:szCs w:val="16"/>
              </w:rPr>
            </w:pPr>
            <w:r w:rsidRPr="003F2416">
              <w:rPr>
                <w:rFonts w:eastAsia="Times New Roman" w:cstheme="minorHAnsi"/>
                <w:b/>
                <w:bCs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>NTA PRG adottate 2024</w:t>
            </w:r>
          </w:p>
        </w:tc>
      </w:tr>
    </w:tbl>
    <w:p w:rsidR="00AD5DC6" w:rsidRPr="003F2416" w:rsidRDefault="00AD5DC6" w:rsidP="00DB66E8">
      <w:pPr>
        <w:ind w:right="-574"/>
        <w:rPr>
          <w:rFonts w:cstheme="minorHAnsi"/>
          <w:color w:val="000000" w:themeColor="text1"/>
        </w:rPr>
      </w:pPr>
    </w:p>
    <w:p w:rsidR="00EE12B8" w:rsidRPr="003F2416" w:rsidRDefault="00EE12B8">
      <w:pPr>
        <w:rPr>
          <w:rFonts w:cstheme="minorHAnsi"/>
          <w:b/>
          <w:bCs/>
          <w:color w:val="000000" w:themeColor="text1"/>
        </w:rPr>
      </w:pPr>
      <w:r w:rsidRPr="003F2416">
        <w:rPr>
          <w:rFonts w:cstheme="minorHAnsi"/>
          <w:b/>
          <w:bCs/>
          <w:color w:val="000000" w:themeColor="text1"/>
        </w:rPr>
        <w:br w:type="page"/>
      </w:r>
    </w:p>
    <w:p w:rsidR="00192708" w:rsidRPr="003F2416" w:rsidRDefault="00192708" w:rsidP="00DB66E8">
      <w:pPr>
        <w:ind w:left="-851"/>
        <w:rPr>
          <w:rFonts w:cstheme="minorHAnsi"/>
          <w:b/>
          <w:bCs/>
          <w:color w:val="000000" w:themeColor="text1"/>
        </w:rPr>
      </w:pPr>
      <w:r w:rsidRPr="003F2416">
        <w:rPr>
          <w:rFonts w:cstheme="minorHAnsi"/>
          <w:b/>
          <w:bCs/>
          <w:color w:val="000000" w:themeColor="text1"/>
        </w:rPr>
        <w:lastRenderedPageBreak/>
        <w:t>Dettaglio interventi consentiti nei tessuti</w:t>
      </w:r>
      <w:r w:rsidR="003124C5" w:rsidRPr="003F2416">
        <w:rPr>
          <w:rFonts w:cstheme="minorHAnsi"/>
          <w:b/>
          <w:bCs/>
          <w:color w:val="000000" w:themeColor="text1"/>
        </w:rPr>
        <w:t xml:space="preserve"> della Città storica</w:t>
      </w:r>
      <w:r w:rsidR="00AD5DC6" w:rsidRPr="003F2416">
        <w:rPr>
          <w:rFonts w:cstheme="minorHAnsi"/>
          <w:b/>
          <w:bCs/>
          <w:color w:val="000000" w:themeColor="text1"/>
        </w:rPr>
        <w:t xml:space="preserve"> T1-T8</w:t>
      </w:r>
      <w:r w:rsidR="00EE12B8" w:rsidRPr="003F2416">
        <w:rPr>
          <w:rFonts w:cstheme="minorHAnsi"/>
          <w:b/>
          <w:bCs/>
          <w:color w:val="000000" w:themeColor="text1"/>
        </w:rPr>
        <w:t xml:space="preserve"> </w:t>
      </w:r>
      <w:r w:rsidR="00EE12B8" w:rsidRPr="003F2416">
        <w:rPr>
          <w:rFonts w:eastAsia="Times New Roman" w:cstheme="minorHAnsi"/>
          <w:b/>
          <w:bCs/>
          <w:color w:val="000000" w:themeColor="text1"/>
          <w:kern w:val="0"/>
          <w:lang w:eastAsia="it-IT"/>
          <w14:ligatures w14:val="none"/>
        </w:rPr>
        <w:t>NTA PRG adottate 2024</w:t>
      </w:r>
    </w:p>
    <w:p w:rsidR="003124C5" w:rsidRPr="003F2416" w:rsidRDefault="003124C5" w:rsidP="00AD5DC6">
      <w:pPr>
        <w:rPr>
          <w:rFonts w:cstheme="minorHAnsi"/>
          <w:b/>
          <w:bCs/>
          <w:color w:val="000000" w:themeColor="text1"/>
        </w:rPr>
      </w:pPr>
    </w:p>
    <w:p w:rsidR="003124C5" w:rsidRPr="003F2416" w:rsidRDefault="003124C5" w:rsidP="00DB66E8">
      <w:pPr>
        <w:ind w:left="-851"/>
        <w:rPr>
          <w:rFonts w:cstheme="minorHAnsi"/>
          <w:color w:val="000000" w:themeColor="text1"/>
        </w:rPr>
      </w:pPr>
      <w:r w:rsidRPr="003F2416">
        <w:rPr>
          <w:rFonts w:cstheme="minorHAnsi"/>
          <w:b/>
          <w:bCs/>
          <w:color w:val="000000" w:themeColor="text1"/>
        </w:rPr>
        <w:t>Comma 2</w:t>
      </w:r>
    </w:p>
    <w:p w:rsidR="00192708" w:rsidRPr="003F2416" w:rsidRDefault="00192708">
      <w:pPr>
        <w:rPr>
          <w:rFonts w:cstheme="minorHAnsi"/>
          <w:color w:val="000000" w:themeColor="text1"/>
        </w:rPr>
      </w:pPr>
    </w:p>
    <w:tbl>
      <w:tblPr>
        <w:tblStyle w:val="Grigliatabella"/>
        <w:tblW w:w="11341" w:type="dxa"/>
        <w:tblInd w:w="-856" w:type="dxa"/>
        <w:tblLook w:val="04A0" w:firstRow="1" w:lastRow="0" w:firstColumn="1" w:lastColumn="0" w:noHBand="0" w:noVBand="1"/>
      </w:tblPr>
      <w:tblGrid>
        <w:gridCol w:w="1648"/>
        <w:gridCol w:w="1227"/>
        <w:gridCol w:w="1273"/>
        <w:gridCol w:w="1410"/>
        <w:gridCol w:w="1397"/>
        <w:gridCol w:w="1462"/>
        <w:gridCol w:w="1462"/>
        <w:gridCol w:w="1462"/>
      </w:tblGrid>
      <w:tr w:rsidR="003F2416" w:rsidRPr="003F2416" w:rsidTr="0095043A">
        <w:tc>
          <w:tcPr>
            <w:tcW w:w="1648" w:type="dxa"/>
          </w:tcPr>
          <w:p w:rsidR="00434508" w:rsidRPr="003F2416" w:rsidRDefault="00434508" w:rsidP="00192708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 xml:space="preserve">Art.26. Tessuti di origine medievale (T1) </w:t>
            </w:r>
          </w:p>
        </w:tc>
        <w:tc>
          <w:tcPr>
            <w:tcW w:w="1227" w:type="dxa"/>
          </w:tcPr>
          <w:p w:rsidR="00434508" w:rsidRPr="003F2416" w:rsidRDefault="00434508" w:rsidP="001E05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Art.27. Tessuti di espansione rinascimentale e moderna preunitaria (T2)</w:t>
            </w:r>
          </w:p>
        </w:tc>
        <w:tc>
          <w:tcPr>
            <w:tcW w:w="1273" w:type="dxa"/>
          </w:tcPr>
          <w:p w:rsidR="00434508" w:rsidRPr="003F2416" w:rsidRDefault="00434508" w:rsidP="001E05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Art.28. Tessuti di ristrutturazione urbanistica otto-</w:t>
            </w:r>
          </w:p>
          <w:p w:rsidR="00434508" w:rsidRPr="003F2416" w:rsidRDefault="00434508" w:rsidP="003124C5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novecentesca (T3)</w:t>
            </w:r>
          </w:p>
        </w:tc>
        <w:tc>
          <w:tcPr>
            <w:tcW w:w="1410" w:type="dxa"/>
          </w:tcPr>
          <w:p w:rsidR="00434508" w:rsidRPr="003F2416" w:rsidRDefault="00434508" w:rsidP="00B6200B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Art.29. Tessuti di espansione otto-novecentesca ad</w:t>
            </w:r>
          </w:p>
          <w:p w:rsidR="00434508" w:rsidRPr="003F2416" w:rsidRDefault="00434508" w:rsidP="003124C5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isolato (T4)</w:t>
            </w:r>
          </w:p>
        </w:tc>
        <w:tc>
          <w:tcPr>
            <w:tcW w:w="1397" w:type="dxa"/>
          </w:tcPr>
          <w:p w:rsidR="00434508" w:rsidRPr="003F2416" w:rsidRDefault="00434508" w:rsidP="008F2EF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Art.30. Tessuti di espansione otto-novecentesca a</w:t>
            </w:r>
          </w:p>
          <w:p w:rsidR="00434508" w:rsidRPr="003F2416" w:rsidRDefault="00434508" w:rsidP="008F2EF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(T5)</w:t>
            </w:r>
          </w:p>
          <w:p w:rsidR="00434508" w:rsidRPr="003F2416" w:rsidRDefault="00434508">
            <w:pPr>
              <w:rPr>
                <w:rFonts w:cstheme="minorHAnsi"/>
                <w:color w:val="0070C0"/>
              </w:rPr>
            </w:pPr>
          </w:p>
        </w:tc>
        <w:tc>
          <w:tcPr>
            <w:tcW w:w="1462" w:type="dxa"/>
          </w:tcPr>
          <w:p w:rsidR="008732D9" w:rsidRPr="003F2416" w:rsidRDefault="008732D9" w:rsidP="008732D9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Art.31. Tessuti di espansione novecentesca a fronti</w:t>
            </w:r>
          </w:p>
          <w:p w:rsidR="008732D9" w:rsidRPr="003F2416" w:rsidRDefault="008732D9" w:rsidP="008732D9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continue (T6)</w:t>
            </w:r>
          </w:p>
          <w:p w:rsidR="00434508" w:rsidRPr="003F2416" w:rsidRDefault="00434508" w:rsidP="008F2EF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462" w:type="dxa"/>
          </w:tcPr>
          <w:p w:rsidR="00A80BA4" w:rsidRPr="003F2416" w:rsidRDefault="00A80BA4" w:rsidP="00A80BA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Art.32. Tessuti di espansione novecentesca a</w:t>
            </w:r>
          </w:p>
          <w:p w:rsidR="00A80BA4" w:rsidRPr="003F2416" w:rsidRDefault="00A80BA4" w:rsidP="00A80BA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(T7)</w:t>
            </w:r>
          </w:p>
          <w:p w:rsidR="00434508" w:rsidRPr="003F2416" w:rsidRDefault="00434508" w:rsidP="008F2EF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Art.33. Tessuti di espansione novecentesca con</w:t>
            </w:r>
          </w:p>
          <w:p w:rsidR="00434508" w:rsidRPr="003F2416" w:rsidRDefault="003124C5" w:rsidP="008F2EF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impianto moderno e unitario (T8)</w:t>
            </w:r>
          </w:p>
        </w:tc>
      </w:tr>
      <w:tr w:rsidR="00EE12B8" w:rsidRPr="003F2416" w:rsidTr="0095043A">
        <w:tc>
          <w:tcPr>
            <w:tcW w:w="1648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Co.2. Sono ammessi gli interventi di categoria Manutenzione Ordinaria, Manutenzione Straordinaria, Restauro e Risanamento Conservativo, Ristrutturazione Edilizia, come definitidall’art.9, con le seguenti specifiche:</w:t>
            </w:r>
          </w:p>
        </w:tc>
        <w:tc>
          <w:tcPr>
            <w:tcW w:w="1227" w:type="dxa"/>
          </w:tcPr>
          <w:p w:rsidR="003124C5" w:rsidRPr="003F2416" w:rsidRDefault="003124C5" w:rsidP="003124C5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273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410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397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  <w:r w:rsidRPr="003F2416">
              <w:rPr>
                <w:rFonts w:cstheme="minorHAnsi"/>
                <w:color w:val="000000" w:themeColor="text1"/>
              </w:rPr>
              <w:t>idem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  <w:r w:rsidRPr="003F2416">
              <w:rPr>
                <w:rFonts w:cstheme="minorHAnsi"/>
                <w:color w:val="000000" w:themeColor="text1"/>
              </w:rPr>
              <w:t>idem</w:t>
            </w:r>
          </w:p>
        </w:tc>
      </w:tr>
      <w:tr w:rsidR="00EE12B8" w:rsidRPr="003F2416" w:rsidTr="0095043A">
        <w:tc>
          <w:tcPr>
            <w:tcW w:w="1648" w:type="dxa"/>
          </w:tcPr>
          <w:p w:rsidR="003124C5" w:rsidRPr="003F2416" w:rsidRDefault="003124C5" w:rsidP="003124C5">
            <w:pPr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co2. l</w:t>
            </w:r>
            <w:proofErr w:type="spellStart"/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ett</w:t>
            </w:r>
            <w:proofErr w:type="spellEnd"/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 xml:space="preserve"> a) è ammessa la Ristrutturazione Edilizia finalizzata alla preservazione, ripristino e valorizzazione – anche mediante adeguamento funzionale – dei caratteri tipologici, formali e costruttivi che concorrono all’interesse storico-architettonico dell’edificio; per le finalità di ripristino, sono consentite le necessarie e conseguenti variazioni di sagoma e sedime;</w:t>
            </w:r>
          </w:p>
        </w:tc>
        <w:tc>
          <w:tcPr>
            <w:tcW w:w="1227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idem</w:t>
            </w:r>
          </w:p>
        </w:tc>
        <w:tc>
          <w:tcPr>
            <w:tcW w:w="1273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410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397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</w:tr>
      <w:tr w:rsidR="00EE12B8" w:rsidRPr="003F2416" w:rsidTr="0095043A">
        <w:tc>
          <w:tcPr>
            <w:tcW w:w="1648" w:type="dxa"/>
          </w:tcPr>
          <w:p w:rsidR="003124C5" w:rsidRPr="003F2416" w:rsidRDefault="003124C5" w:rsidP="003124C5">
            <w:pPr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227" w:type="dxa"/>
          </w:tcPr>
          <w:p w:rsidR="003124C5" w:rsidRPr="003F2416" w:rsidRDefault="003124C5" w:rsidP="003124C5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273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b) è ammessa la Ristrutturazione Edilizia, anche con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aumento di SUL, ma senza aumento di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Vft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per adeguamento funzionale di edifici o parti di essi;</w:t>
            </w:r>
          </w:p>
        </w:tc>
        <w:tc>
          <w:tcPr>
            <w:tcW w:w="1410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397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</w:tr>
      <w:tr w:rsidR="00EE12B8" w:rsidRPr="003F2416" w:rsidTr="0095043A">
        <w:tc>
          <w:tcPr>
            <w:tcW w:w="1648" w:type="dxa"/>
          </w:tcPr>
          <w:p w:rsidR="003124C5" w:rsidRPr="003F2416" w:rsidRDefault="003124C5" w:rsidP="003124C5">
            <w:pPr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 xml:space="preserve">b) è ammessa la Ristrutturazione Edilizia con interventi di demolizione e ricostruzione, anche con aumento di SUL, ma senza aumento di </w:t>
            </w:r>
            <w:proofErr w:type="spellStart"/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Vft</w:t>
            </w:r>
            <w:proofErr w:type="spellEnd"/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, purché siano mantenuti sagoma, prospetti, sedime e caratteristiche planivolumetriche e tipologiche dell’edificio preesistente di edifici realizzati successivamente al piano regolatore del 1883</w:t>
            </w:r>
          </w:p>
        </w:tc>
        <w:tc>
          <w:tcPr>
            <w:tcW w:w="1227" w:type="dxa"/>
          </w:tcPr>
          <w:p w:rsidR="003124C5" w:rsidRPr="003F2416" w:rsidRDefault="003124C5" w:rsidP="003124C5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273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c) idem</w:t>
            </w:r>
          </w:p>
        </w:tc>
        <w:tc>
          <w:tcPr>
            <w:tcW w:w="1410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strike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strike/>
                <w:color w:val="000000" w:themeColor="text1"/>
              </w:rPr>
            </w:pPr>
          </w:p>
        </w:tc>
        <w:tc>
          <w:tcPr>
            <w:tcW w:w="1397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</w:tr>
      <w:tr w:rsidR="003F2416" w:rsidRPr="003F2416" w:rsidTr="00B73CA0">
        <w:tc>
          <w:tcPr>
            <w:tcW w:w="1648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lastRenderedPageBreak/>
              <w:t xml:space="preserve">Art.26. Tessuti di origine medievale (T1) </w:t>
            </w:r>
          </w:p>
        </w:tc>
        <w:tc>
          <w:tcPr>
            <w:tcW w:w="1227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Art.27. Tessuti di espansione rinascimentale e moderna preunitaria (T2)</w:t>
            </w:r>
          </w:p>
        </w:tc>
        <w:tc>
          <w:tcPr>
            <w:tcW w:w="1273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Art.28. Tessuti di ristrutturazione urbanistica otto-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novecentesca (T3)</w:t>
            </w:r>
          </w:p>
        </w:tc>
        <w:tc>
          <w:tcPr>
            <w:tcW w:w="1410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Art.29. Tessuti di espansione otto-novecentesca ad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isolato (T4)</w:t>
            </w:r>
          </w:p>
        </w:tc>
        <w:tc>
          <w:tcPr>
            <w:tcW w:w="1397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Art.30. Tessuti di espansione otto-novecentesca a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(T5)</w:t>
            </w:r>
          </w:p>
          <w:p w:rsidR="00485839" w:rsidRPr="003F2416" w:rsidRDefault="00485839" w:rsidP="00B73CA0">
            <w:pPr>
              <w:rPr>
                <w:rFonts w:cstheme="minorHAnsi"/>
                <w:color w:val="0070C0"/>
              </w:rPr>
            </w:pPr>
          </w:p>
        </w:tc>
        <w:tc>
          <w:tcPr>
            <w:tcW w:w="1462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Art.31. Tessuti di espansione novecentesca a fronti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continue (T6)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462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Art.32. Tessuti di espansione novecentesca a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(T7)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462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Art.33. Tessuti di espansione novecentesca con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impianto moderno e unitario (T8)</w:t>
            </w:r>
          </w:p>
        </w:tc>
      </w:tr>
      <w:tr w:rsidR="00EE12B8" w:rsidRPr="003F2416" w:rsidTr="0095043A">
        <w:tc>
          <w:tcPr>
            <w:tcW w:w="1648" w:type="dxa"/>
          </w:tcPr>
          <w:p w:rsidR="003124C5" w:rsidRPr="003F2416" w:rsidRDefault="003124C5" w:rsidP="003124C5">
            <w:pPr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227" w:type="dxa"/>
          </w:tcPr>
          <w:p w:rsidR="003124C5" w:rsidRPr="003F2416" w:rsidRDefault="003124C5" w:rsidP="003124C5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273" w:type="dxa"/>
          </w:tcPr>
          <w:p w:rsidR="003124C5" w:rsidRPr="003F2416" w:rsidRDefault="003124C5" w:rsidP="003124C5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410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 2 b) è ammessa la Ristrutturazione Edilizia con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interventi di demolizione e ricostruzione, anche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con aumento di SUL, ma senza aumento di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Vft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>,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finalizzata al miglioramento della qualità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architettonica e/o adeguamento funzionale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mantenendo sedime, caratteristiche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strike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planivolumetriche e tipologiche; </w:t>
            </w:r>
            <w:r w:rsidRPr="003F2416">
              <w:rPr>
                <w:rFonts w:asciiTheme="minorHAnsi" w:hAnsiTheme="minorHAnsi" w:cstheme="minorHAnsi"/>
                <w:strike/>
                <w:color w:val="000000" w:themeColor="text1"/>
              </w:rPr>
              <w:t>di edifici realizzati successivamente al piano regolatore del 1883</w:t>
            </w:r>
          </w:p>
        </w:tc>
        <w:tc>
          <w:tcPr>
            <w:tcW w:w="1397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 2 b) è ammessa la Ristrutturazione Edilizia con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interventi di demolizione e ricostruzione, anche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con aumento di SUL, ma senza aumento di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Vft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>,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finalizzata al miglioramento della qualità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architettonica e/o adeguamento funzionale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mantenendo sedime, caratteristiche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strike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planivolumetriche e tipologiche; </w:t>
            </w:r>
            <w:r w:rsidRPr="003F2416">
              <w:rPr>
                <w:rFonts w:asciiTheme="minorHAnsi" w:hAnsiTheme="minorHAnsi" w:cstheme="minorHAnsi"/>
                <w:strike/>
                <w:color w:val="000000" w:themeColor="text1"/>
              </w:rPr>
              <w:t>di edifici realizzati successivamente al piano regolatore del 1883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</w:tr>
      <w:tr w:rsidR="00EE12B8" w:rsidRPr="003F2416" w:rsidTr="0095043A">
        <w:tc>
          <w:tcPr>
            <w:tcW w:w="1648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27" w:type="dxa"/>
          </w:tcPr>
          <w:p w:rsidR="003124C5" w:rsidRPr="003F2416" w:rsidRDefault="003124C5" w:rsidP="003124C5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273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410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397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 2 b) è ammessa la Ristrutturazione Edilizia con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interventi di demolizione e ricostruzione, anche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con aumento di SUL, ma senza aumento di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Vft</w:t>
            </w:r>
            <w:proofErr w:type="spellEnd"/>
            <w:r w:rsidRPr="003F2416">
              <w:rPr>
                <w:rStyle w:val="s1"/>
                <w:rFonts w:asciiTheme="minorHAnsi" w:hAnsiTheme="minorHAnsi" w:cstheme="minorHAnsi"/>
                <w:color w:val="000000" w:themeColor="text1"/>
              </w:rPr>
              <w:t xml:space="preserve"> 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>con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eventuale modifica della sagoma, prospetti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sedime e caratteristiche planivolumetriche e</w:t>
            </w:r>
          </w:p>
          <w:p w:rsidR="003124C5" w:rsidRPr="003F2416" w:rsidRDefault="003124C5" w:rsidP="00126FC2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tipologiche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 2 b) è ammessa la Ristrutturazione Edilizia con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interventi di demolizione e ricostruzione, anche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con aumento di SUL, ma senza aumento di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Vft</w:t>
            </w:r>
            <w:proofErr w:type="spellEnd"/>
            <w:r w:rsidRPr="003F2416">
              <w:rPr>
                <w:rStyle w:val="s1"/>
                <w:rFonts w:asciiTheme="minorHAnsi" w:hAnsiTheme="minorHAnsi" w:cstheme="minorHAnsi"/>
                <w:color w:val="000000" w:themeColor="text1"/>
              </w:rPr>
              <w:t xml:space="preserve"> 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>con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eventuale modifica della sagoma, prospetti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sedime e caratteristiche planivolumetriche e</w:t>
            </w:r>
          </w:p>
          <w:p w:rsidR="003124C5" w:rsidRPr="003F2416" w:rsidRDefault="003124C5" w:rsidP="00126FC2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tipologiche;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</w:tr>
      <w:tr w:rsidR="00EE12B8" w:rsidRPr="003F2416" w:rsidTr="0095043A">
        <w:tc>
          <w:tcPr>
            <w:tcW w:w="1648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c) è ammessa la demolizione senza ricostruzione di edifici, finalizzata alla riqualificazione ambientale o alla realizzazione di verde pubblico o servizi pubblici;</w:t>
            </w:r>
          </w:p>
        </w:tc>
        <w:tc>
          <w:tcPr>
            <w:tcW w:w="1227" w:type="dxa"/>
          </w:tcPr>
          <w:p w:rsidR="003124C5" w:rsidRPr="003F2416" w:rsidRDefault="003124C5" w:rsidP="003124C5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273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d) idem</w:t>
            </w:r>
          </w:p>
        </w:tc>
        <w:tc>
          <w:tcPr>
            <w:tcW w:w="1410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c) idem</w:t>
            </w:r>
          </w:p>
        </w:tc>
        <w:tc>
          <w:tcPr>
            <w:tcW w:w="1397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c) idem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c) idem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EE12B8" w:rsidRPr="003F2416" w:rsidTr="0095043A">
        <w:tc>
          <w:tcPr>
            <w:tcW w:w="1648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27" w:type="dxa"/>
          </w:tcPr>
          <w:p w:rsidR="003124C5" w:rsidRPr="003F2416" w:rsidRDefault="003124C5" w:rsidP="003124C5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273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410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 2 d) è ammessa la Ristrutturazione Edilizia o interventi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di demolizione e ricostruzione, senza aumento di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SUL, salvo il riuso di locali esistenti esclusi dal calcolo della SUL per effetto dell’art. 4, comma 1, e con aumento di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Vft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fino al 10% finalizzata ad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assicurare una migliore 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lastRenderedPageBreak/>
              <w:t>configurazione spaziale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con riguardo ai piani specializzati (piani-terra, piani atipici intermedi, coronamenti);</w:t>
            </w:r>
          </w:p>
        </w:tc>
        <w:tc>
          <w:tcPr>
            <w:tcW w:w="1397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co2 e) idem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Co2 d) idem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Co2 d) idem</w:t>
            </w:r>
          </w:p>
        </w:tc>
      </w:tr>
      <w:tr w:rsidR="003F2416" w:rsidRPr="003F2416" w:rsidTr="00B73CA0">
        <w:tc>
          <w:tcPr>
            <w:tcW w:w="1648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 xml:space="preserve">Art.26. Tessuti di origine medievale (T1) </w:t>
            </w:r>
          </w:p>
        </w:tc>
        <w:tc>
          <w:tcPr>
            <w:tcW w:w="1227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Art.27. Tessuti di espansione rinascimentale e moderna preunitaria (T2)</w:t>
            </w:r>
          </w:p>
        </w:tc>
        <w:tc>
          <w:tcPr>
            <w:tcW w:w="1273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Art.28. Tessuti di ristrutturazione urbanistica otto-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novecentesca (T3)</w:t>
            </w:r>
          </w:p>
        </w:tc>
        <w:tc>
          <w:tcPr>
            <w:tcW w:w="1410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Art.29. Tessuti di espansione otto-novecentesca ad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isolato (T4)</w:t>
            </w:r>
          </w:p>
        </w:tc>
        <w:tc>
          <w:tcPr>
            <w:tcW w:w="1397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Art.30. Tessuti di espansione otto-novecentesca a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(T5)</w:t>
            </w:r>
          </w:p>
          <w:p w:rsidR="00485839" w:rsidRPr="003F2416" w:rsidRDefault="00485839" w:rsidP="00B73CA0">
            <w:pPr>
              <w:rPr>
                <w:rFonts w:cstheme="minorHAnsi"/>
                <w:color w:val="0070C0"/>
              </w:rPr>
            </w:pPr>
          </w:p>
        </w:tc>
        <w:tc>
          <w:tcPr>
            <w:tcW w:w="1462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Art.31. Tessuti di espansione novecentesca a fronti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continue (T6)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462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Art.32. Tessuti di espansione novecentesca a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(T7)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462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Art.33. Tessuti di espansione novecentesca con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impianto moderno e unitario (T8)</w:t>
            </w:r>
          </w:p>
        </w:tc>
      </w:tr>
      <w:tr w:rsidR="00EE12B8" w:rsidRPr="003F2416" w:rsidTr="0095043A">
        <w:tc>
          <w:tcPr>
            <w:tcW w:w="1648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27" w:type="dxa"/>
          </w:tcPr>
          <w:p w:rsidR="003124C5" w:rsidRPr="003F2416" w:rsidRDefault="003124C5" w:rsidP="003124C5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273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410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97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 2 e) è ammessa la Ristrutturazione Edilizia con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aumento di SUL e di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Vft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secondo le prescrizioni di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cui al co.3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lett.a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>);</w:t>
            </w:r>
          </w:p>
        </w:tc>
      </w:tr>
      <w:tr w:rsidR="00EE12B8" w:rsidRPr="003F2416" w:rsidTr="0095043A">
        <w:tc>
          <w:tcPr>
            <w:tcW w:w="1648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27" w:type="dxa"/>
          </w:tcPr>
          <w:p w:rsidR="003124C5" w:rsidRPr="003F2416" w:rsidRDefault="003124C5" w:rsidP="003124C5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273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410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 2 e) per edifici sottodimensionati rispetto alle regole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spaziali del contesto, su cui sono consentiti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interventi di cui alla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lett.d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>), con aumento di SUL 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Vft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finalizzati ad una maggiore coerenza con gli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allineamenti e le regole compositive del tessuto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circostante, senza comunque eccedere l’altezza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maggiore degli edifici contermini;</w:t>
            </w:r>
          </w:p>
        </w:tc>
        <w:tc>
          <w:tcPr>
            <w:tcW w:w="1397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co2 f) idem</w:t>
            </w: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Co 2 e) idem</w:t>
            </w:r>
          </w:p>
        </w:tc>
        <w:tc>
          <w:tcPr>
            <w:tcW w:w="1462" w:type="dxa"/>
          </w:tcPr>
          <w:p w:rsidR="003124C5" w:rsidRPr="003F2416" w:rsidRDefault="0095043A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Co2 f) idem</w:t>
            </w:r>
          </w:p>
        </w:tc>
      </w:tr>
      <w:tr w:rsidR="00EE12B8" w:rsidRPr="003F2416" w:rsidTr="0095043A">
        <w:tc>
          <w:tcPr>
            <w:tcW w:w="1648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d) è ammessa la Ristrutturazione Edilizia sui singoli lotti liberi o parzialmente edificati, interposti tra lotti edificati dello stesso isolato, volti al ripristino di edifici, o parti di essi, eventualmente crollati o demoliti, attraverso la loro ricostruzione fino alla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SUL e al 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Vft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preesistenti purché sia possibile accertarne la legittimità della preesistenza e la loro consistenza.</w:t>
            </w:r>
          </w:p>
        </w:tc>
        <w:tc>
          <w:tcPr>
            <w:tcW w:w="1227" w:type="dxa"/>
          </w:tcPr>
          <w:p w:rsidR="003124C5" w:rsidRPr="003F2416" w:rsidRDefault="003124C5" w:rsidP="003124C5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273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X</w:t>
            </w:r>
          </w:p>
        </w:tc>
        <w:tc>
          <w:tcPr>
            <w:tcW w:w="1410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Co 2 f) 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idem 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+ 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 con una altezza non superiore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 quella degli edifici circostanti di carattere storico-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artistico e comunque dell’edificio contermine più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alto.</w:t>
            </w:r>
          </w:p>
          <w:p w:rsidR="003124C5" w:rsidRPr="003F2416" w:rsidRDefault="003124C5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397" w:type="dxa"/>
          </w:tcPr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Co 2 d) idem 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+ 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 con una altezza non superiore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 quella degli edifici circostanti di carattere storico-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artistico e comunque dell’edificio contermine più</w:t>
            </w:r>
          </w:p>
          <w:p w:rsidR="003124C5" w:rsidRPr="003F2416" w:rsidRDefault="003124C5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alto.</w:t>
            </w:r>
          </w:p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3124C5" w:rsidRPr="003F2416" w:rsidRDefault="003124C5" w:rsidP="003124C5">
            <w:pPr>
              <w:rPr>
                <w:rFonts w:cstheme="minorHAnsi"/>
                <w:color w:val="000000" w:themeColor="text1"/>
              </w:rPr>
            </w:pPr>
          </w:p>
        </w:tc>
      </w:tr>
      <w:tr w:rsidR="00EE12B8" w:rsidRPr="003F2416" w:rsidTr="0095043A">
        <w:tc>
          <w:tcPr>
            <w:tcW w:w="1648" w:type="dxa"/>
          </w:tcPr>
          <w:p w:rsidR="009C2F01" w:rsidRPr="003F2416" w:rsidRDefault="009C2F01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27" w:type="dxa"/>
          </w:tcPr>
          <w:p w:rsidR="009C2F01" w:rsidRPr="003F2416" w:rsidRDefault="009C2F01" w:rsidP="003124C5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273" w:type="dxa"/>
          </w:tcPr>
          <w:p w:rsidR="009C2F01" w:rsidRPr="003F2416" w:rsidRDefault="009C2F01" w:rsidP="003124C5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410" w:type="dxa"/>
          </w:tcPr>
          <w:p w:rsidR="009C2F01" w:rsidRPr="003F2416" w:rsidRDefault="009C2F01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97" w:type="dxa"/>
          </w:tcPr>
          <w:p w:rsidR="009C2F01" w:rsidRPr="003F2416" w:rsidRDefault="009C2F01" w:rsidP="003124C5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9C2F01" w:rsidRPr="003F2416" w:rsidRDefault="009C2F01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9C2F01" w:rsidRPr="003F2416" w:rsidRDefault="009C2F01" w:rsidP="003124C5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462" w:type="dxa"/>
          </w:tcPr>
          <w:p w:rsidR="009C2F01" w:rsidRPr="003F2416" w:rsidRDefault="009C2F01" w:rsidP="009C2F01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 2 g) è ammessa la Nuova Costruzione finalizzata ad</w:t>
            </w:r>
          </w:p>
          <w:p w:rsidR="009C2F01" w:rsidRPr="003F2416" w:rsidRDefault="009C2F01" w:rsidP="009C2F01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una maggiore integrazione architettonica e</w:t>
            </w:r>
          </w:p>
          <w:p w:rsidR="009C2F01" w:rsidRPr="003F2416" w:rsidRDefault="009C2F01" w:rsidP="003F241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volumetrica degli impianti urbani.</w:t>
            </w:r>
          </w:p>
        </w:tc>
      </w:tr>
      <w:tr w:rsidR="003F2416" w:rsidRPr="003F2416" w:rsidTr="00B73CA0">
        <w:tc>
          <w:tcPr>
            <w:tcW w:w="1648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 xml:space="preserve">Art.26. Tessuti di origine medievale (T1) </w:t>
            </w:r>
          </w:p>
        </w:tc>
        <w:tc>
          <w:tcPr>
            <w:tcW w:w="1227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Art.27. Tessuti di espansione rinascimentale e moderna preunitaria (T2)</w:t>
            </w:r>
          </w:p>
        </w:tc>
        <w:tc>
          <w:tcPr>
            <w:tcW w:w="1273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Art.28. Tessuti di ristrutturazione urbanistica otto-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novecentesca (T3)</w:t>
            </w:r>
          </w:p>
        </w:tc>
        <w:tc>
          <w:tcPr>
            <w:tcW w:w="1410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Art.29. Tessuti di espansione otto-novecentesca ad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isolato (T4)</w:t>
            </w:r>
          </w:p>
        </w:tc>
        <w:tc>
          <w:tcPr>
            <w:tcW w:w="1397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Art.30. Tessuti di espansione otto-novecentesca a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(T5)</w:t>
            </w:r>
          </w:p>
          <w:p w:rsidR="00485839" w:rsidRPr="003F2416" w:rsidRDefault="00485839" w:rsidP="00B73CA0">
            <w:pPr>
              <w:rPr>
                <w:rFonts w:cstheme="minorHAnsi"/>
                <w:color w:val="0070C0"/>
              </w:rPr>
            </w:pPr>
          </w:p>
        </w:tc>
        <w:tc>
          <w:tcPr>
            <w:tcW w:w="1462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Art.31. Tessuti di espansione novecentesca a fronti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continue (T6)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462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Art.32. Tessuti di espansione novecentesca a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(T7)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462" w:type="dxa"/>
          </w:tcPr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Art.33. Tessuti di espansione novecentesca con</w:t>
            </w:r>
          </w:p>
          <w:p w:rsidR="00485839" w:rsidRPr="003F2416" w:rsidRDefault="00485839" w:rsidP="00B73CA0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impianto moderno e unitario (T8)</w:t>
            </w:r>
          </w:p>
        </w:tc>
      </w:tr>
    </w:tbl>
    <w:p w:rsidR="001E05C6" w:rsidRPr="003F2416" w:rsidRDefault="001E05C6">
      <w:pPr>
        <w:rPr>
          <w:rFonts w:cstheme="minorHAnsi"/>
          <w:color w:val="000000" w:themeColor="text1"/>
        </w:rPr>
      </w:pPr>
    </w:p>
    <w:p w:rsidR="003124C5" w:rsidRPr="003F2416" w:rsidRDefault="003124C5" w:rsidP="003F2416">
      <w:pPr>
        <w:ind w:left="-851"/>
        <w:rPr>
          <w:rFonts w:cstheme="minorHAnsi"/>
          <w:b/>
          <w:bCs/>
          <w:color w:val="000000" w:themeColor="text1"/>
        </w:rPr>
      </w:pPr>
      <w:r w:rsidRPr="003F2416">
        <w:rPr>
          <w:rFonts w:cstheme="minorHAnsi"/>
          <w:b/>
          <w:bCs/>
          <w:color w:val="000000" w:themeColor="text1"/>
        </w:rPr>
        <w:lastRenderedPageBreak/>
        <w:t>Comma 3</w:t>
      </w:r>
    </w:p>
    <w:p w:rsidR="003124C5" w:rsidRPr="003F2416" w:rsidRDefault="003124C5">
      <w:pPr>
        <w:rPr>
          <w:rFonts w:cstheme="minorHAnsi"/>
          <w:color w:val="000000" w:themeColor="text1"/>
        </w:rPr>
      </w:pPr>
    </w:p>
    <w:tbl>
      <w:tblPr>
        <w:tblStyle w:val="Grigliatabella"/>
        <w:tblW w:w="11373" w:type="dxa"/>
        <w:tblInd w:w="-856" w:type="dxa"/>
        <w:tblLook w:val="04A0" w:firstRow="1" w:lastRow="0" w:firstColumn="1" w:lastColumn="0" w:noHBand="0" w:noVBand="1"/>
      </w:tblPr>
      <w:tblGrid>
        <w:gridCol w:w="1515"/>
        <w:gridCol w:w="1175"/>
        <w:gridCol w:w="1592"/>
        <w:gridCol w:w="1613"/>
        <w:gridCol w:w="1324"/>
        <w:gridCol w:w="1613"/>
        <w:gridCol w:w="1204"/>
        <w:gridCol w:w="1337"/>
      </w:tblGrid>
      <w:tr w:rsidR="003F2416" w:rsidRPr="003F2416" w:rsidTr="00353726">
        <w:tc>
          <w:tcPr>
            <w:tcW w:w="1515" w:type="dxa"/>
          </w:tcPr>
          <w:p w:rsidR="00761198" w:rsidRPr="003F2416" w:rsidRDefault="00761198">
            <w:pPr>
              <w:rPr>
                <w:rFonts w:cstheme="minorHAnsi"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color w:val="0070C0"/>
                <w:sz w:val="16"/>
                <w:szCs w:val="16"/>
              </w:rPr>
              <w:t>Art.26. Tessuti di origine medievale (T1)</w:t>
            </w:r>
          </w:p>
        </w:tc>
        <w:tc>
          <w:tcPr>
            <w:tcW w:w="1175" w:type="dxa"/>
          </w:tcPr>
          <w:p w:rsidR="00761198" w:rsidRPr="003F2416" w:rsidRDefault="00761198">
            <w:pPr>
              <w:rPr>
                <w:rFonts w:eastAsia="Times New Roman" w:cstheme="minorHAns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>Art.27. Tessuti di espansione rinascimentale e moderna preunitaria (T2)</w:t>
            </w:r>
          </w:p>
        </w:tc>
        <w:tc>
          <w:tcPr>
            <w:tcW w:w="1592" w:type="dxa"/>
          </w:tcPr>
          <w:p w:rsidR="00761198" w:rsidRPr="003F2416" w:rsidRDefault="00761198" w:rsidP="001E05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Art.28. Tessuti di ristrutturazione urbanistica otto-</w:t>
            </w:r>
          </w:p>
          <w:p w:rsidR="00761198" w:rsidRPr="003F2416" w:rsidRDefault="00761198" w:rsidP="001E05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novecentesca (T3)</w:t>
            </w:r>
          </w:p>
          <w:p w:rsidR="00761198" w:rsidRPr="003F2416" w:rsidRDefault="00761198" w:rsidP="001E05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  <w:p w:rsidR="00761198" w:rsidRPr="003F2416" w:rsidRDefault="00761198">
            <w:pPr>
              <w:rPr>
                <w:rFonts w:cstheme="minorHAnsi"/>
                <w:color w:val="0070C0"/>
                <w:sz w:val="16"/>
                <w:szCs w:val="16"/>
              </w:rPr>
            </w:pPr>
          </w:p>
        </w:tc>
        <w:tc>
          <w:tcPr>
            <w:tcW w:w="1613" w:type="dxa"/>
          </w:tcPr>
          <w:p w:rsidR="00761198" w:rsidRPr="003F2416" w:rsidRDefault="00761198" w:rsidP="008F2EF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Art.29. Tessuti di espansione otto-novecentesca ad</w:t>
            </w:r>
          </w:p>
          <w:p w:rsidR="00761198" w:rsidRPr="003F2416" w:rsidRDefault="00761198" w:rsidP="008F2EFE">
            <w:pPr>
              <w:rPr>
                <w:rFonts w:cstheme="minorHAnsi"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color w:val="0070C0"/>
                <w:sz w:val="16"/>
                <w:szCs w:val="16"/>
              </w:rPr>
              <w:t>isolato (T4)</w:t>
            </w:r>
          </w:p>
        </w:tc>
        <w:tc>
          <w:tcPr>
            <w:tcW w:w="1324" w:type="dxa"/>
          </w:tcPr>
          <w:p w:rsidR="00761198" w:rsidRPr="003F2416" w:rsidRDefault="00761198" w:rsidP="008F2EF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Art.30. Tessuti di espansione otto-novecentesca a</w:t>
            </w:r>
          </w:p>
          <w:p w:rsidR="00761198" w:rsidRPr="003F2416" w:rsidRDefault="00761198" w:rsidP="008F2EF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(T5)</w:t>
            </w:r>
          </w:p>
          <w:p w:rsidR="00761198" w:rsidRPr="003F2416" w:rsidRDefault="00761198">
            <w:pPr>
              <w:rPr>
                <w:rFonts w:cstheme="minorHAnsi"/>
                <w:color w:val="0070C0"/>
                <w:sz w:val="16"/>
                <w:szCs w:val="16"/>
              </w:rPr>
            </w:pPr>
          </w:p>
        </w:tc>
        <w:tc>
          <w:tcPr>
            <w:tcW w:w="1613" w:type="dxa"/>
          </w:tcPr>
          <w:p w:rsidR="006F4BD1" w:rsidRPr="003F2416" w:rsidRDefault="006F4BD1" w:rsidP="006F4BD1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Art.31. Tessuti di espansione novecentesca a fronti</w:t>
            </w:r>
          </w:p>
          <w:p w:rsidR="006F4BD1" w:rsidRPr="003F2416" w:rsidRDefault="006F4BD1" w:rsidP="006F4BD1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continue (T6)</w:t>
            </w:r>
          </w:p>
          <w:p w:rsidR="00761198" w:rsidRPr="003F2416" w:rsidRDefault="00761198" w:rsidP="008F2EF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204" w:type="dxa"/>
          </w:tcPr>
          <w:p w:rsidR="00A80BA4" w:rsidRPr="003F2416" w:rsidRDefault="00A80BA4" w:rsidP="00A80BA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Art.32. Tessuti di espansione novecentesca a</w:t>
            </w:r>
          </w:p>
          <w:p w:rsidR="00A80BA4" w:rsidRPr="003F2416" w:rsidRDefault="00A80BA4" w:rsidP="00A80BA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(T7)</w:t>
            </w:r>
          </w:p>
          <w:p w:rsidR="00761198" w:rsidRPr="003F2416" w:rsidRDefault="00761198" w:rsidP="008F2EF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337" w:type="dxa"/>
          </w:tcPr>
          <w:p w:rsidR="009C2F01" w:rsidRPr="003F2416" w:rsidRDefault="009C2F01" w:rsidP="009C2F01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Art.33. Tessuti di espansione novecentesca con</w:t>
            </w:r>
          </w:p>
          <w:p w:rsidR="00761198" w:rsidRPr="003F2416" w:rsidRDefault="009C2F01" w:rsidP="009C2F01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impianto moderno e unitario (T8)</w:t>
            </w:r>
          </w:p>
        </w:tc>
      </w:tr>
      <w:tr w:rsidR="00EE12B8" w:rsidRPr="003F2416" w:rsidTr="00353726">
        <w:tc>
          <w:tcPr>
            <w:tcW w:w="1515" w:type="dxa"/>
          </w:tcPr>
          <w:p w:rsidR="0011637D" w:rsidRPr="003F2416" w:rsidRDefault="0011637D" w:rsidP="0011637D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 3. Valgono le seguenti prescrizioni particolari:</w:t>
            </w:r>
          </w:p>
          <w:p w:rsidR="0011637D" w:rsidRPr="003F2416" w:rsidRDefault="0011637D" w:rsidP="0011637D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a)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è ammesso, all’interno della stessa unità edilizia,</w:t>
            </w:r>
          </w:p>
          <w:p w:rsidR="0011637D" w:rsidRPr="003F2416" w:rsidRDefault="0011637D" w:rsidP="0011637D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l’accorpamento di unità immobiliari contigue in</w:t>
            </w:r>
          </w:p>
          <w:p w:rsidR="0011637D" w:rsidRPr="003F2416" w:rsidRDefault="0011637D" w:rsidP="0011637D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orizzontale e in verticale senza spostare le scale</w:t>
            </w:r>
          </w:p>
          <w:p w:rsidR="0011637D" w:rsidRPr="003F2416" w:rsidRDefault="0011637D" w:rsidP="0011637D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comuni esistenti né variare la quota d’imposta dei</w:t>
            </w:r>
          </w:p>
          <w:p w:rsidR="0011637D" w:rsidRPr="003F2416" w:rsidRDefault="0011637D" w:rsidP="0011637D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solai, anche al fine di ricomporre i caratteri</w:t>
            </w:r>
          </w:p>
          <w:p w:rsidR="0011637D" w:rsidRPr="003F2416" w:rsidRDefault="0011637D" w:rsidP="0011637D">
            <w:pPr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distributivi verticali originari;</w:t>
            </w:r>
          </w:p>
        </w:tc>
        <w:tc>
          <w:tcPr>
            <w:tcW w:w="1175" w:type="dxa"/>
          </w:tcPr>
          <w:p w:rsidR="0011637D" w:rsidRPr="003F2416" w:rsidRDefault="0011637D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592" w:type="dxa"/>
          </w:tcPr>
          <w:p w:rsidR="0011637D" w:rsidRPr="003F2416" w:rsidRDefault="0011637D" w:rsidP="001E05C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11637D" w:rsidRPr="003F2416" w:rsidRDefault="0011637D" w:rsidP="008F2EF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24" w:type="dxa"/>
          </w:tcPr>
          <w:p w:rsidR="0011637D" w:rsidRPr="003F2416" w:rsidRDefault="0011637D" w:rsidP="008F2EF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11637D" w:rsidRPr="003F2416" w:rsidRDefault="0011637D" w:rsidP="006F4BD1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11637D" w:rsidRPr="003F2416" w:rsidRDefault="0011637D" w:rsidP="00A80BA4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11637D" w:rsidRPr="003F2416" w:rsidRDefault="0011637D" w:rsidP="009C2F01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353726">
        <w:tc>
          <w:tcPr>
            <w:tcW w:w="1515" w:type="dxa"/>
          </w:tcPr>
          <w:p w:rsidR="00353726" w:rsidRPr="003F2416" w:rsidRDefault="00353726" w:rsidP="0011637D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175" w:type="dxa"/>
          </w:tcPr>
          <w:p w:rsidR="00353726" w:rsidRPr="003F2416" w:rsidRDefault="0035372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592" w:type="dxa"/>
          </w:tcPr>
          <w:p w:rsidR="00353726" w:rsidRPr="003F2416" w:rsidRDefault="00353726" w:rsidP="001E05C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353726" w:rsidRPr="003F2416" w:rsidRDefault="00353726" w:rsidP="008F2EF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24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a) per gli interventi interni alle unità edilizie,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l’accorpamento o frazionamento delle unità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immobiliari è ammesso senza modifica delle scale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esistenti, della quota dei solai e senza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frazionamento degli spazi aperti di pertinenza;</w:t>
            </w:r>
          </w:p>
          <w:p w:rsidR="00353726" w:rsidRPr="003F2416" w:rsidRDefault="00353726" w:rsidP="008F2EF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353726" w:rsidRPr="003F2416" w:rsidRDefault="00353726" w:rsidP="006F4BD1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353726" w:rsidRPr="003F2416" w:rsidRDefault="00353726" w:rsidP="00A80BA4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353726" w:rsidRPr="003F2416" w:rsidRDefault="00353726" w:rsidP="009C2F01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353726">
        <w:tc>
          <w:tcPr>
            <w:tcW w:w="1515" w:type="dxa"/>
          </w:tcPr>
          <w:p w:rsidR="00B7457A" w:rsidRPr="003F2416" w:rsidRDefault="00B7457A" w:rsidP="0011637D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b) è ammesso, l’accorpamento di unità immobiliari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ricadenti in diverse unità edilizie adiacenti: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sempre ai fini residenziali ad esclusione delle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“abitazioni ad uso ricettivo”; per le destinazioni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commerciali, legittimamente in atto alla data di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adozione della presente variante alle NTA, fino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 1.000 mq di superficie di vendita, fatte salve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più specifiche e ulteriori previsioni contenute nel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Regolamento per l’esercizio delle attività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commerciali e artigianali nel territorio della Città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lastRenderedPageBreak/>
              <w:t>storica, ai sensi dell’art.25 comma 17; altresì,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per le destinazioni “strutture ricettive alberghiere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ed extra-alberghiere”, a condizione che gli immobili abbiano una destinazione non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residenziale, o che le destinazioni “strutture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ricettive alberghiere ed extra-alberghiere”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occupino prima dell’accorpamento almeno il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70% della SUL delle unità edilizie nel loro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complesso, alla data di adozione della presente</w:t>
            </w:r>
          </w:p>
          <w:p w:rsidR="001D02C7" w:rsidRPr="003F2416" w:rsidRDefault="001D02C7" w:rsidP="001D02C7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variante alle NTA</w:t>
            </w:r>
          </w:p>
          <w:p w:rsidR="00B7457A" w:rsidRPr="003F2416" w:rsidRDefault="00B7457A" w:rsidP="0011637D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175" w:type="dxa"/>
          </w:tcPr>
          <w:p w:rsidR="00B7457A" w:rsidRPr="003F2416" w:rsidRDefault="001D02C7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proofErr w:type="gramStart"/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lastRenderedPageBreak/>
              <w:t>Idem  (</w:t>
            </w:r>
            <w:proofErr w:type="gramEnd"/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b)</w:t>
            </w:r>
          </w:p>
        </w:tc>
        <w:tc>
          <w:tcPr>
            <w:tcW w:w="1592" w:type="dxa"/>
          </w:tcPr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a) </w:t>
            </w:r>
            <w:r w:rsidR="001D02C7" w:rsidRPr="003F2416">
              <w:rPr>
                <w:rFonts w:asciiTheme="minorHAnsi" w:hAnsiTheme="minorHAnsi" w:cstheme="minorHAnsi"/>
                <w:color w:val="000000" w:themeColor="text1"/>
              </w:rPr>
              <w:t>è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ammesso, l’accorpamento di unità immobiliari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ricadenti in diverse unità edilizie adiacenti: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sempre ai fini residenziali ad esclusione delle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“abitazioni ad uso ricettivo”; per le destinazioni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commerciali, legittimamente in atto alla data di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adozione della presente variante alle NTA, fino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 1.000 mq di superficie di vendita, fatte salve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più specifiche e ulteriori previsioni contenute nel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Regolamento per l’esercizio delle attività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commerciali e artigianali nel territorio della Città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lastRenderedPageBreak/>
              <w:t>storica, ai sensi dell’art.25 comma 17; altresì,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per le destinazioni “strutture ricettive alberghiere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ed extra-alberghiere”, a condizione che gli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immobili abbiano una destinazione non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residenziale, o che le destinazioni “strutture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ricettive alberghiere ed extra-alberghiere”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occupino prima dell’accorpamento almeno il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70% della SUL delle unità edilizie nel loro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complesso, alla data di adozione della presente</w:t>
            </w:r>
          </w:p>
          <w:p w:rsidR="00B7457A" w:rsidRPr="003F2416" w:rsidRDefault="00B7457A" w:rsidP="00B7457A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variante alle NTA;</w:t>
            </w:r>
          </w:p>
          <w:p w:rsidR="00B7457A" w:rsidRPr="003F2416" w:rsidRDefault="00B7457A" w:rsidP="001E05C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B7457A" w:rsidRPr="003F2416" w:rsidRDefault="00EC4BA2" w:rsidP="008F2EF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lastRenderedPageBreak/>
              <w:t>idem</w:t>
            </w:r>
          </w:p>
        </w:tc>
        <w:tc>
          <w:tcPr>
            <w:tcW w:w="1324" w:type="dxa"/>
          </w:tcPr>
          <w:p w:rsidR="00B7457A" w:rsidRPr="003F2416" w:rsidRDefault="004A344D" w:rsidP="008F2EF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Idem (b)</w:t>
            </w:r>
          </w:p>
        </w:tc>
        <w:tc>
          <w:tcPr>
            <w:tcW w:w="1613" w:type="dxa"/>
          </w:tcPr>
          <w:p w:rsidR="00B7457A" w:rsidRPr="003F2416" w:rsidRDefault="00B7457A" w:rsidP="006F4BD1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B7457A" w:rsidRPr="003F2416" w:rsidRDefault="00B7457A" w:rsidP="00A80BA4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B7457A" w:rsidRPr="003F2416" w:rsidRDefault="00B7457A" w:rsidP="009C2F01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3F2416" w:rsidRPr="003F2416" w:rsidTr="008377C6">
        <w:tc>
          <w:tcPr>
            <w:tcW w:w="1515" w:type="dxa"/>
          </w:tcPr>
          <w:p w:rsidR="00353726" w:rsidRPr="003F2416" w:rsidRDefault="00353726" w:rsidP="008377C6">
            <w:pPr>
              <w:rPr>
                <w:rFonts w:cstheme="minorHAnsi"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color w:val="0070C0"/>
                <w:sz w:val="16"/>
                <w:szCs w:val="16"/>
              </w:rPr>
              <w:t>Art.26. Tessuti di origine medievale (T1)</w:t>
            </w:r>
          </w:p>
        </w:tc>
        <w:tc>
          <w:tcPr>
            <w:tcW w:w="1175" w:type="dxa"/>
          </w:tcPr>
          <w:p w:rsidR="00353726" w:rsidRPr="003F2416" w:rsidRDefault="00353726" w:rsidP="008377C6">
            <w:pPr>
              <w:rPr>
                <w:rFonts w:eastAsia="Times New Roman" w:cstheme="minorHAns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>Art.27. Tessuti di espansione rinascimentale e moderna preunitaria (T2)</w:t>
            </w:r>
          </w:p>
        </w:tc>
        <w:tc>
          <w:tcPr>
            <w:tcW w:w="1592" w:type="dxa"/>
          </w:tcPr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Art.28. Tessuti di ristrutturazione urbanistica otto-</w:t>
            </w:r>
          </w:p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novecentesca (T3)</w:t>
            </w:r>
          </w:p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  <w:p w:rsidR="00353726" w:rsidRPr="003F2416" w:rsidRDefault="00353726" w:rsidP="008377C6">
            <w:pPr>
              <w:rPr>
                <w:rFonts w:cstheme="minorHAnsi"/>
                <w:color w:val="0070C0"/>
                <w:sz w:val="16"/>
                <w:szCs w:val="16"/>
              </w:rPr>
            </w:pPr>
          </w:p>
        </w:tc>
        <w:tc>
          <w:tcPr>
            <w:tcW w:w="1613" w:type="dxa"/>
          </w:tcPr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Art.29. Tessuti di espansione otto-novecentesca ad</w:t>
            </w:r>
          </w:p>
          <w:p w:rsidR="00353726" w:rsidRPr="003F2416" w:rsidRDefault="00353726" w:rsidP="008377C6">
            <w:pPr>
              <w:rPr>
                <w:rFonts w:cstheme="minorHAnsi"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color w:val="0070C0"/>
                <w:sz w:val="16"/>
                <w:szCs w:val="16"/>
              </w:rPr>
              <w:t>isolato (T4)</w:t>
            </w:r>
          </w:p>
        </w:tc>
        <w:tc>
          <w:tcPr>
            <w:tcW w:w="1324" w:type="dxa"/>
          </w:tcPr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Art.30. Tessuti di espansione otto-novecentesca a</w:t>
            </w:r>
          </w:p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(T5)</w:t>
            </w:r>
          </w:p>
          <w:p w:rsidR="00353726" w:rsidRPr="003F2416" w:rsidRDefault="00353726" w:rsidP="008377C6">
            <w:pPr>
              <w:rPr>
                <w:rFonts w:cstheme="minorHAnsi"/>
                <w:color w:val="0070C0"/>
                <w:sz w:val="16"/>
                <w:szCs w:val="16"/>
              </w:rPr>
            </w:pPr>
          </w:p>
        </w:tc>
        <w:tc>
          <w:tcPr>
            <w:tcW w:w="1613" w:type="dxa"/>
          </w:tcPr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Art.31. Tessuti di espansione novecentesca a fronti</w:t>
            </w:r>
          </w:p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continue (T6)</w:t>
            </w:r>
          </w:p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204" w:type="dxa"/>
          </w:tcPr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Art.32. Tessuti di espansione novecentesca a</w:t>
            </w:r>
          </w:p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(T7)</w:t>
            </w:r>
          </w:p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337" w:type="dxa"/>
          </w:tcPr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Art.33. Tessuti di espansione novecentesca con</w:t>
            </w:r>
          </w:p>
          <w:p w:rsidR="00353726" w:rsidRPr="003F2416" w:rsidRDefault="00353726" w:rsidP="008377C6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impianto moderno e unitario (T8)</w:t>
            </w:r>
          </w:p>
        </w:tc>
      </w:tr>
      <w:tr w:rsidR="00EE12B8" w:rsidRPr="003F2416" w:rsidTr="00353726">
        <w:tc>
          <w:tcPr>
            <w:tcW w:w="1515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175" w:type="dxa"/>
          </w:tcPr>
          <w:p w:rsidR="00353726" w:rsidRPr="003F2416" w:rsidRDefault="00353726" w:rsidP="0035372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592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24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3. Valgono le seguenti prescrizioni particolari: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a) per gli interventi di categoria Ristrutturazione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edilizia, di cui al co.2 punto b), la rifusione per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funzioni terziarie e funzioni alberghiere e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congressuali � realizzabile con accorpamenti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orizzontali e/o verticali anche attraverso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collegamenti interni autonomi; i vani accessori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delle unità edilizie e immobiliari possono essere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destinati ad abitazioni, studi professionali e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atelier;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comma abrogato</w:t>
            </w:r>
          </w:p>
        </w:tc>
        <w:tc>
          <w:tcPr>
            <w:tcW w:w="1337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353726">
        <w:tc>
          <w:tcPr>
            <w:tcW w:w="1515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175" w:type="dxa"/>
          </w:tcPr>
          <w:p w:rsidR="00353726" w:rsidRPr="003F2416" w:rsidRDefault="00353726" w:rsidP="0035372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592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24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3. Valgono le seguenti prescrizioni particolari: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a) gli interventi di categoria Ristrutturazione edilizia,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di cui al co.2 punto f) sono finalizzati alla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riqualificazione dei </w:t>
            </w:r>
            <w:r w:rsidRPr="003F2416">
              <w:rPr>
                <w:rStyle w:val="s1"/>
                <w:rFonts w:asciiTheme="minorHAnsi" w:hAnsiTheme="minorHAnsi" w:cstheme="minorHAnsi"/>
                <w:color w:val="000000" w:themeColor="text1"/>
              </w:rPr>
              <w:t>piani-pilotis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per</w:t>
            </w:r>
            <w:r w:rsidRPr="003F2416">
              <w:rPr>
                <w:rStyle w:val="s1"/>
                <w:rFonts w:asciiTheme="minorHAnsi" w:hAnsiTheme="minorHAnsi" w:cstheme="minorHAnsi"/>
                <w:color w:val="000000" w:themeColor="text1"/>
              </w:rPr>
              <w:t xml:space="preserve"> 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>garantire una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lastRenderedPageBreak/>
              <w:t>maggiore integrazione funzionale anche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attraverso l’inserimento di nuove destinazioni d’uso non residenziali; a tal fine, è consentita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l’edificazione dei </w:t>
            </w:r>
            <w:r w:rsidRPr="003F2416">
              <w:rPr>
                <w:rStyle w:val="s1"/>
                <w:rFonts w:asciiTheme="minorHAnsi" w:hAnsiTheme="minorHAnsi" w:cstheme="minorHAnsi"/>
                <w:color w:val="000000" w:themeColor="text1"/>
              </w:rPr>
              <w:t xml:space="preserve">piani-pilotis 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>fino al 50% della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superficie coperta, eccetto che nel Villaggio</w:t>
            </w:r>
          </w:p>
          <w:p w:rsidR="00353726" w:rsidRPr="003F2416" w:rsidRDefault="00353726" w:rsidP="0035372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Olimpico e a Decima;</w:t>
            </w:r>
          </w:p>
        </w:tc>
      </w:tr>
      <w:tr w:rsidR="003F2416" w:rsidRPr="003F2416" w:rsidTr="009875B4">
        <w:tc>
          <w:tcPr>
            <w:tcW w:w="1515" w:type="dxa"/>
          </w:tcPr>
          <w:p w:rsidR="003F2416" w:rsidRPr="003F2416" w:rsidRDefault="003F2416" w:rsidP="009875B4">
            <w:pPr>
              <w:rPr>
                <w:rFonts w:cstheme="minorHAnsi"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color w:val="0070C0"/>
                <w:sz w:val="16"/>
                <w:szCs w:val="16"/>
              </w:rPr>
              <w:lastRenderedPageBreak/>
              <w:t>Art.26. Tessuti di origine medievale (T1)</w:t>
            </w:r>
          </w:p>
        </w:tc>
        <w:tc>
          <w:tcPr>
            <w:tcW w:w="1175" w:type="dxa"/>
          </w:tcPr>
          <w:p w:rsidR="003F2416" w:rsidRPr="003F2416" w:rsidRDefault="003F2416" w:rsidP="009875B4">
            <w:pPr>
              <w:rPr>
                <w:rFonts w:eastAsia="Times New Roman" w:cstheme="minorHAns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>Art.27. Tessuti di espansione rinascimentale e moderna preunitaria (T2)</w:t>
            </w:r>
          </w:p>
        </w:tc>
        <w:tc>
          <w:tcPr>
            <w:tcW w:w="1592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Art.28. Tessuti di ristrutturazione urbanistica otto-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novecentesca (T3)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  <w:p w:rsidR="003F2416" w:rsidRPr="003F2416" w:rsidRDefault="003F2416" w:rsidP="009875B4">
            <w:pPr>
              <w:rPr>
                <w:rFonts w:cstheme="minorHAnsi"/>
                <w:color w:val="0070C0"/>
                <w:sz w:val="16"/>
                <w:szCs w:val="16"/>
              </w:rPr>
            </w:pPr>
          </w:p>
        </w:tc>
        <w:tc>
          <w:tcPr>
            <w:tcW w:w="1613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Art.29. Tessuti di espansione otto-novecentesca ad</w:t>
            </w:r>
          </w:p>
          <w:p w:rsidR="003F2416" w:rsidRPr="003F2416" w:rsidRDefault="003F2416" w:rsidP="009875B4">
            <w:pPr>
              <w:rPr>
                <w:rFonts w:cstheme="minorHAnsi"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color w:val="0070C0"/>
                <w:sz w:val="16"/>
                <w:szCs w:val="16"/>
              </w:rPr>
              <w:t>isolato (T4)</w:t>
            </w:r>
          </w:p>
        </w:tc>
        <w:tc>
          <w:tcPr>
            <w:tcW w:w="1324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Art.30. Tessuti di espansione otto-novecentesca a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(T5)</w:t>
            </w:r>
          </w:p>
          <w:p w:rsidR="003F2416" w:rsidRPr="003F2416" w:rsidRDefault="003F2416" w:rsidP="009875B4">
            <w:pPr>
              <w:rPr>
                <w:rFonts w:cstheme="minorHAnsi"/>
                <w:color w:val="0070C0"/>
                <w:sz w:val="16"/>
                <w:szCs w:val="16"/>
              </w:rPr>
            </w:pPr>
          </w:p>
        </w:tc>
        <w:tc>
          <w:tcPr>
            <w:tcW w:w="1613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Art.31. Tessuti di espansione novecentesca a fronti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continue (T6)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204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Art.32. Tessuti di espansione novecentesca a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(T7)</w:t>
            </w:r>
          </w:p>
        </w:tc>
        <w:tc>
          <w:tcPr>
            <w:tcW w:w="1337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Art.33. Tessuti di espansione novecentesca con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impianto moderno e unitario (T8)</w:t>
            </w:r>
          </w:p>
        </w:tc>
      </w:tr>
      <w:tr w:rsidR="00EE12B8" w:rsidRPr="003F2416" w:rsidTr="00353726">
        <w:tc>
          <w:tcPr>
            <w:tcW w:w="1515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175" w:type="dxa"/>
          </w:tcPr>
          <w:p w:rsidR="009F6EA6" w:rsidRPr="003F2416" w:rsidRDefault="009F6EA6" w:rsidP="009F6EA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592" w:type="dxa"/>
          </w:tcPr>
          <w:p w:rsidR="009F6EA6" w:rsidRPr="003F2416" w:rsidRDefault="009F6EA6" w:rsidP="009F6EA6">
            <w:pPr>
              <w:rPr>
                <w:rFonts w:eastAsia="Times New Roman" w:cstheme="minorHAnsi"/>
                <w:i/>
                <w:iCs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 xml:space="preserve">b) gli interventi di categoria Ristrutturazione edilizia, di cui al  co.2 punti a) e b), sono finalizzati alla definizione dei margini e dei punti di connessione </w:t>
            </w: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irrisolti con gli edifici adiacenti; a tal fine, sono ammesse: la modifica della struttura e delle coperture, anche con sostituzione totale dell’orditura primaria e secondaria dei tetti e della struttura portante con altra di diversa tipologia costruttiva e con modeste modifiche di imposta (tolleranza &lt; 40 cm) senza modificare la posizione e la sagoma del cornicione originario; l’apertura di nuove finestre e logge su pareti cieche e non definite architettonicamente, con l’inserimento del progetto nel contesto di riferimento; la realizzazione di scale interne;</w:t>
            </w:r>
          </w:p>
        </w:tc>
        <w:tc>
          <w:tcPr>
            <w:tcW w:w="1613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24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353726">
        <w:tc>
          <w:tcPr>
            <w:tcW w:w="1515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175" w:type="dxa"/>
          </w:tcPr>
          <w:p w:rsidR="009F6EA6" w:rsidRPr="003F2416" w:rsidRDefault="009F6EA6" w:rsidP="009F6EA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592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b) per gli interventi di categoria Ristrutturazione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edilizia, di cui al co.2 punto b), c), e) ed f), i volumi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dei corpi di fabbrica demoliti possono essere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recuperati attraverso: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Style w:val="s1"/>
                <w:rFonts w:asciiTheme="minorHAnsi" w:hAnsiTheme="minorHAnsi" w:cstheme="minorHAnsi"/>
                <w:color w:val="000000" w:themeColor="text1"/>
              </w:rPr>
              <w:t>-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interventi di sopraelevazione e aggiunta laterale,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lastRenderedPageBreak/>
              <w:t>o nuova sagoma; nel primo caso, i nuovi volumi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dovranno configurarsi come coronamenti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architettonicamente coerenti con l’edificio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esistente di altezza non superiore a m. 4 e la loro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linea di colmo dovrà̀ essere interna ad un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inviluppo della sagoma definito da una inclinata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di 45° a partire dalla linea di gronda esistente;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Style w:val="s1"/>
                <w:rFonts w:asciiTheme="minorHAnsi" w:hAnsiTheme="minorHAnsi" w:cstheme="minorHAnsi"/>
                <w:color w:val="000000" w:themeColor="text1"/>
              </w:rPr>
              <w:t>-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la copertura parziale o totale di corti e cortili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interni, se non architettonicamente strutturati, ad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un’altezza non superiore a quella del piano-terra,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attrezzando la superficie di calpestio a tetto-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giardino.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24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353726">
        <w:tc>
          <w:tcPr>
            <w:tcW w:w="1515" w:type="dxa"/>
          </w:tcPr>
          <w:p w:rsidR="009F6EA6" w:rsidRPr="003F2416" w:rsidRDefault="009F6EA6" w:rsidP="009F6EA6">
            <w:pPr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175" w:type="dxa"/>
          </w:tcPr>
          <w:p w:rsidR="009F6EA6" w:rsidRPr="003F2416" w:rsidRDefault="009F6EA6" w:rsidP="009F6EA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592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24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 3 b) per gli interventi di categoria Ristrutturazione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edilizia, di cui al co.2 punti b) ed e), i volumi demoliti possono essere recuperati attraverso: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una diversa sagoma dei nuovi edifici; la copertura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anche parziale di corti e cortili interni, se non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architettonicamente strutturati, ad un’altezza non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superiore a quella del piano-terra, attrezzando la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superficie di calpestio a spazio per il passeggio, la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sosta e il gioco; le soluzioni per la ridefinizione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delle facciate cieche degli edifici, anche attraverso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l’inserimento di logge, dovranno essere verificate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nel progetto con l’inserimento anche degli edifici 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spazi aperti adiacenti, in grado di esplicitare la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qualità degli interventi in relazione al contesto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urbano.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353726">
        <w:tc>
          <w:tcPr>
            <w:tcW w:w="1515" w:type="dxa"/>
          </w:tcPr>
          <w:p w:rsidR="00785A46" w:rsidRPr="003F2416" w:rsidRDefault="00785A46" w:rsidP="009F6EA6">
            <w:pPr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175" w:type="dxa"/>
          </w:tcPr>
          <w:p w:rsidR="00785A46" w:rsidRPr="003F2416" w:rsidRDefault="00785A46" w:rsidP="009F6EA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592" w:type="dxa"/>
          </w:tcPr>
          <w:p w:rsidR="00785A46" w:rsidRPr="003F2416" w:rsidRDefault="00785A4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785A46" w:rsidRPr="003F2416" w:rsidRDefault="00785A4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24" w:type="dxa"/>
          </w:tcPr>
          <w:p w:rsidR="00785A46" w:rsidRPr="003F2416" w:rsidRDefault="00785A4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785A46" w:rsidRPr="003F2416" w:rsidRDefault="00785A4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785A46" w:rsidRPr="003F2416" w:rsidRDefault="00785A4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B) abrogato</w:t>
            </w:r>
          </w:p>
        </w:tc>
        <w:tc>
          <w:tcPr>
            <w:tcW w:w="1337" w:type="dxa"/>
          </w:tcPr>
          <w:p w:rsidR="00785A46" w:rsidRPr="003F2416" w:rsidRDefault="00785A4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3F2416" w:rsidRPr="003F2416" w:rsidTr="009875B4">
        <w:tc>
          <w:tcPr>
            <w:tcW w:w="1515" w:type="dxa"/>
          </w:tcPr>
          <w:p w:rsidR="003F2416" w:rsidRPr="003F2416" w:rsidRDefault="003F2416" w:rsidP="009875B4">
            <w:pPr>
              <w:rPr>
                <w:rFonts w:cstheme="minorHAnsi"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color w:val="0070C0"/>
                <w:sz w:val="16"/>
                <w:szCs w:val="16"/>
              </w:rPr>
              <w:lastRenderedPageBreak/>
              <w:t>Art.26. Tessuti di origine medievale (T1)</w:t>
            </w:r>
          </w:p>
        </w:tc>
        <w:tc>
          <w:tcPr>
            <w:tcW w:w="1175" w:type="dxa"/>
          </w:tcPr>
          <w:p w:rsidR="003F2416" w:rsidRPr="003F2416" w:rsidRDefault="003F2416" w:rsidP="009875B4">
            <w:pPr>
              <w:rPr>
                <w:rFonts w:eastAsia="Times New Roman" w:cstheme="minorHAns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>Art.27. Tessuti di espansione rinascimentale e moderna preunitaria (T2)</w:t>
            </w:r>
          </w:p>
        </w:tc>
        <w:tc>
          <w:tcPr>
            <w:tcW w:w="1592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Art.28. Tessuti di ristrutturazione urbanistica otto-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novecentesca (T3)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  <w:p w:rsidR="003F2416" w:rsidRPr="003F2416" w:rsidRDefault="003F2416" w:rsidP="009875B4">
            <w:pPr>
              <w:rPr>
                <w:rFonts w:cstheme="minorHAnsi"/>
                <w:color w:val="0070C0"/>
                <w:sz w:val="16"/>
                <w:szCs w:val="16"/>
              </w:rPr>
            </w:pPr>
          </w:p>
        </w:tc>
        <w:tc>
          <w:tcPr>
            <w:tcW w:w="1613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Art.29. Tessuti di espansione otto-novecentesca ad</w:t>
            </w:r>
          </w:p>
          <w:p w:rsidR="003F2416" w:rsidRPr="003F2416" w:rsidRDefault="003F2416" w:rsidP="009875B4">
            <w:pPr>
              <w:rPr>
                <w:rFonts w:cstheme="minorHAnsi"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color w:val="0070C0"/>
                <w:sz w:val="16"/>
                <w:szCs w:val="16"/>
              </w:rPr>
              <w:t>isolato (T4)</w:t>
            </w:r>
          </w:p>
        </w:tc>
        <w:tc>
          <w:tcPr>
            <w:tcW w:w="1324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Art.30. Tessuti di espansione otto-novecentesca a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(T5)</w:t>
            </w:r>
          </w:p>
          <w:p w:rsidR="003F2416" w:rsidRPr="003F2416" w:rsidRDefault="003F2416" w:rsidP="009875B4">
            <w:pPr>
              <w:rPr>
                <w:rFonts w:cstheme="minorHAnsi"/>
                <w:color w:val="0070C0"/>
                <w:sz w:val="16"/>
                <w:szCs w:val="16"/>
              </w:rPr>
            </w:pPr>
          </w:p>
        </w:tc>
        <w:tc>
          <w:tcPr>
            <w:tcW w:w="1613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Art.31. Tessuti di espansione novecentesca a fronti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continue (T6)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204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Art.32. Tessuti di espansione novecentesca a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(T7)</w:t>
            </w:r>
          </w:p>
        </w:tc>
        <w:tc>
          <w:tcPr>
            <w:tcW w:w="1337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Art.33. Tessuti di espansione novecentesca con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impianto moderno e unitario (T8)</w:t>
            </w:r>
          </w:p>
        </w:tc>
      </w:tr>
      <w:tr w:rsidR="00EE12B8" w:rsidRPr="003F2416" w:rsidTr="00353726">
        <w:tc>
          <w:tcPr>
            <w:tcW w:w="1515" w:type="dxa"/>
          </w:tcPr>
          <w:p w:rsidR="00785A46" w:rsidRPr="003F2416" w:rsidRDefault="00785A46" w:rsidP="009F6EA6">
            <w:pPr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175" w:type="dxa"/>
          </w:tcPr>
          <w:p w:rsidR="00785A46" w:rsidRPr="003F2416" w:rsidRDefault="00785A46" w:rsidP="009F6EA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592" w:type="dxa"/>
          </w:tcPr>
          <w:p w:rsidR="00785A46" w:rsidRPr="003F2416" w:rsidRDefault="00785A4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785A46" w:rsidRPr="003F2416" w:rsidRDefault="00785A4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24" w:type="dxa"/>
          </w:tcPr>
          <w:p w:rsidR="00785A46" w:rsidRPr="003F2416" w:rsidRDefault="00785A4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785A46" w:rsidRPr="003F2416" w:rsidRDefault="00785A4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785A46" w:rsidRPr="003F2416" w:rsidRDefault="00785A4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785A46" w:rsidRPr="003F2416" w:rsidRDefault="00785A46" w:rsidP="00785A4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  <w:t xml:space="preserve">b) </w:t>
            </w: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 xml:space="preserve">gli interventi di categoria Nuova costruzione sono soggetti alle seguenti condizioni; almeno il 50% </w:t>
            </w: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della nuova SUL dovrà essere a destinazione pubblica; l’indice fondiario non potrà superare il 50% dell’indice fondiario medio dell’impianto urbano e in nessun caso i 5 mc/mq di Volume costruito (</w:t>
            </w:r>
            <w:proofErr w:type="spellStart"/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Vc</w:t>
            </w:r>
            <w:proofErr w:type="spellEnd"/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); gli interventi dovranno tener conto dell’inserimento nel contesto urbano.</w:t>
            </w:r>
          </w:p>
          <w:p w:rsidR="00785A46" w:rsidRPr="003F2416" w:rsidRDefault="00785A4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FB03B8">
        <w:tc>
          <w:tcPr>
            <w:tcW w:w="1515" w:type="dxa"/>
          </w:tcPr>
          <w:p w:rsidR="00785A46" w:rsidRPr="003F2416" w:rsidRDefault="00785A46" w:rsidP="00FB03B8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 3. c) il frazionamento delle unità immobiliari esistenti</w:t>
            </w:r>
          </w:p>
          <w:p w:rsidR="00785A46" w:rsidRPr="003F2416" w:rsidRDefault="00785A46" w:rsidP="00FB03B8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non è consentito, salvo che per destinazioni</w:t>
            </w:r>
          </w:p>
          <w:p w:rsidR="00785A46" w:rsidRPr="003F2416" w:rsidRDefault="00785A46" w:rsidP="00FB03B8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residenziali con l’esclusione delle “abitazioni ad</w:t>
            </w:r>
          </w:p>
          <w:p w:rsidR="00785A46" w:rsidRPr="003F2416" w:rsidRDefault="00785A46" w:rsidP="00FB03B8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uso ricettivo di cui all’art.6 c.1 lett.a3).</w:t>
            </w:r>
          </w:p>
        </w:tc>
        <w:tc>
          <w:tcPr>
            <w:tcW w:w="1175" w:type="dxa"/>
          </w:tcPr>
          <w:p w:rsidR="00785A46" w:rsidRPr="003F2416" w:rsidRDefault="00785A46" w:rsidP="00FB03B8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592" w:type="dxa"/>
          </w:tcPr>
          <w:p w:rsidR="00785A46" w:rsidRPr="003F2416" w:rsidRDefault="00785A46" w:rsidP="00FB03B8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Co 3 d) idem</w:t>
            </w:r>
          </w:p>
        </w:tc>
        <w:tc>
          <w:tcPr>
            <w:tcW w:w="1613" w:type="dxa"/>
          </w:tcPr>
          <w:p w:rsidR="00785A46" w:rsidRPr="003F2416" w:rsidRDefault="00785A46" w:rsidP="00FB03B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324" w:type="dxa"/>
          </w:tcPr>
          <w:p w:rsidR="00785A46" w:rsidRPr="003F2416" w:rsidRDefault="00785A46" w:rsidP="00FB03B8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13" w:type="dxa"/>
          </w:tcPr>
          <w:p w:rsidR="00785A46" w:rsidRPr="003F2416" w:rsidRDefault="00785A46" w:rsidP="00FB03B8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785A46" w:rsidRPr="003F2416" w:rsidRDefault="00785A46" w:rsidP="00FB03B8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785A46" w:rsidRPr="003F2416" w:rsidRDefault="00785A46" w:rsidP="00FB03B8">
            <w:pPr>
              <w:rPr>
                <w:rFonts w:cstheme="minorHAnsi"/>
                <w:color w:val="000000" w:themeColor="text1"/>
              </w:rPr>
            </w:pPr>
          </w:p>
        </w:tc>
      </w:tr>
      <w:tr w:rsidR="00EE12B8" w:rsidRPr="003F2416" w:rsidTr="00353726">
        <w:tc>
          <w:tcPr>
            <w:tcW w:w="1515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175" w:type="dxa"/>
          </w:tcPr>
          <w:p w:rsidR="009F6EA6" w:rsidRPr="003F2416" w:rsidRDefault="009F6EA6" w:rsidP="009F6EA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592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Co3 c) per gli interventi di categoria Ristrutturazione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edilizia, di cui al co.2 punto b), è ammesso il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riutilizzo dei sottotetti, con conseguente aumento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di SUL, al solo fine di realizzare abitazioni, studi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professionali e atelier;</w:t>
            </w:r>
          </w:p>
        </w:tc>
        <w:tc>
          <w:tcPr>
            <w:tcW w:w="1613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324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13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</w:rPr>
            </w:pPr>
          </w:p>
        </w:tc>
      </w:tr>
      <w:tr w:rsidR="00EE12B8" w:rsidRPr="003F2416" w:rsidTr="00353726">
        <w:tc>
          <w:tcPr>
            <w:tcW w:w="1515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175" w:type="dxa"/>
          </w:tcPr>
          <w:p w:rsidR="009F6EA6" w:rsidRPr="003F2416" w:rsidRDefault="009F6EA6" w:rsidP="009F6EA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592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13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324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Co</w:t>
            </w:r>
            <w:proofErr w:type="gramStart"/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3  c</w:t>
            </w:r>
            <w:proofErr w:type="gramEnd"/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 xml:space="preserve">) 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per l’intervento di categoria Ristrutturazione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edilizia, di cui al co.2 punto a), non è consentito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modificare il rapporto tra l’edificio e lo spazio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aperto di pertinenza e in ogni caso deve sempre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lastRenderedPageBreak/>
              <w:t>essere salvaguardata la gerarchia tra i prospetti 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la caratterizzazione degli elementi architettonici 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decorativi originari.</w:t>
            </w:r>
          </w:p>
        </w:tc>
        <w:tc>
          <w:tcPr>
            <w:tcW w:w="1613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</w:rPr>
            </w:pPr>
          </w:p>
        </w:tc>
      </w:tr>
      <w:tr w:rsidR="003F2416" w:rsidRPr="003F2416" w:rsidTr="009875B4">
        <w:tc>
          <w:tcPr>
            <w:tcW w:w="1515" w:type="dxa"/>
          </w:tcPr>
          <w:p w:rsidR="003F2416" w:rsidRPr="003F2416" w:rsidRDefault="003F2416" w:rsidP="009875B4">
            <w:pPr>
              <w:rPr>
                <w:rFonts w:cstheme="minorHAnsi"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color w:val="0070C0"/>
                <w:sz w:val="16"/>
                <w:szCs w:val="16"/>
              </w:rPr>
              <w:t>Art.26. Tessuti di origine medievale (T1)</w:t>
            </w:r>
          </w:p>
        </w:tc>
        <w:tc>
          <w:tcPr>
            <w:tcW w:w="1175" w:type="dxa"/>
          </w:tcPr>
          <w:p w:rsidR="003F2416" w:rsidRPr="003F2416" w:rsidRDefault="003F2416" w:rsidP="009875B4">
            <w:pPr>
              <w:rPr>
                <w:rFonts w:eastAsia="Times New Roman" w:cstheme="minorHAns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>Art.27. Tessuti di espansione rinascimentale e moderna preunitaria (T2)</w:t>
            </w:r>
          </w:p>
        </w:tc>
        <w:tc>
          <w:tcPr>
            <w:tcW w:w="1592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Art.28. Tessuti di ristrutturazione urbanistica otto-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novecentesca (T3)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  <w:p w:rsidR="003F2416" w:rsidRPr="003F2416" w:rsidRDefault="003F2416" w:rsidP="009875B4">
            <w:pPr>
              <w:rPr>
                <w:rFonts w:cstheme="minorHAnsi"/>
                <w:color w:val="0070C0"/>
                <w:sz w:val="16"/>
                <w:szCs w:val="16"/>
              </w:rPr>
            </w:pPr>
          </w:p>
        </w:tc>
        <w:tc>
          <w:tcPr>
            <w:tcW w:w="1613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Art.29. Tessuti di espansione otto-novecentesca ad</w:t>
            </w:r>
          </w:p>
          <w:p w:rsidR="003F2416" w:rsidRPr="003F2416" w:rsidRDefault="003F2416" w:rsidP="009875B4">
            <w:pPr>
              <w:rPr>
                <w:rFonts w:cstheme="minorHAnsi"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color w:val="0070C0"/>
                <w:sz w:val="16"/>
                <w:szCs w:val="16"/>
              </w:rPr>
              <w:t>isolato (T4)</w:t>
            </w:r>
          </w:p>
        </w:tc>
        <w:tc>
          <w:tcPr>
            <w:tcW w:w="1324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Art.30. Tessuti di espansione otto-novecentesca a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(T5)</w:t>
            </w:r>
          </w:p>
          <w:p w:rsidR="003F2416" w:rsidRPr="003F2416" w:rsidRDefault="003F2416" w:rsidP="009875B4">
            <w:pPr>
              <w:rPr>
                <w:rFonts w:cstheme="minorHAnsi"/>
                <w:color w:val="0070C0"/>
                <w:sz w:val="16"/>
                <w:szCs w:val="16"/>
              </w:rPr>
            </w:pPr>
          </w:p>
        </w:tc>
        <w:tc>
          <w:tcPr>
            <w:tcW w:w="1613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Art.31. Tessuti di espansione novecentesca a fronti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continue (T6)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204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Art.32. Tessuti di espansione novecentesca a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(T7)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337" w:type="dxa"/>
          </w:tcPr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Art.33. Tessuti di espansione novecentesca con</w:t>
            </w:r>
          </w:p>
          <w:p w:rsidR="003F2416" w:rsidRPr="003F2416" w:rsidRDefault="003F2416" w:rsidP="009875B4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impianto moderno e unitario (T8)</w:t>
            </w:r>
          </w:p>
        </w:tc>
      </w:tr>
      <w:tr w:rsidR="00EE12B8" w:rsidRPr="003F2416" w:rsidTr="00353726">
        <w:tc>
          <w:tcPr>
            <w:tcW w:w="1515" w:type="dxa"/>
          </w:tcPr>
          <w:p w:rsidR="008E31DE" w:rsidRPr="003F2416" w:rsidRDefault="008E31DE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175" w:type="dxa"/>
          </w:tcPr>
          <w:p w:rsidR="008E31DE" w:rsidRPr="003F2416" w:rsidRDefault="008E31DE" w:rsidP="009F6EA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592" w:type="dxa"/>
          </w:tcPr>
          <w:p w:rsidR="008E31DE" w:rsidRPr="003F2416" w:rsidRDefault="008E31DE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13" w:type="dxa"/>
          </w:tcPr>
          <w:p w:rsidR="008E31DE" w:rsidRPr="003F2416" w:rsidRDefault="008E31DE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324" w:type="dxa"/>
          </w:tcPr>
          <w:p w:rsidR="008E31DE" w:rsidRPr="003F2416" w:rsidRDefault="008E31DE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13" w:type="dxa"/>
          </w:tcPr>
          <w:p w:rsidR="008E31DE" w:rsidRPr="003F2416" w:rsidRDefault="008E31DE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204" w:type="dxa"/>
          </w:tcPr>
          <w:p w:rsidR="008E31DE" w:rsidRPr="003F2416" w:rsidRDefault="008E31DE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abrogato</w:t>
            </w:r>
          </w:p>
        </w:tc>
        <w:tc>
          <w:tcPr>
            <w:tcW w:w="1337" w:type="dxa"/>
          </w:tcPr>
          <w:p w:rsidR="008E31DE" w:rsidRPr="003F2416" w:rsidRDefault="008E31DE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EE12B8" w:rsidRPr="003F2416" w:rsidTr="00353726">
        <w:tc>
          <w:tcPr>
            <w:tcW w:w="1515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175" w:type="dxa"/>
          </w:tcPr>
          <w:p w:rsidR="009F6EA6" w:rsidRPr="003F2416" w:rsidRDefault="009F6EA6" w:rsidP="009F6EA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592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13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324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13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9F6EA6" w:rsidRPr="003F2416" w:rsidRDefault="009F6EA6" w:rsidP="009F6EA6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b) gli interventi di categoria Nuova costruzione sono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soggetti alle seguenti condizioni; almeno il 50%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della nuova SUL dovrà essere a destinazione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pubblica; l’indice fondiario non potrà superare il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50% dell’indice fondiario medio dell’impianto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urbano e in nessun caso i 5 mc/mq di Volume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costruito (</w:t>
            </w:r>
            <w:proofErr w:type="spellStart"/>
            <w:r w:rsidRPr="003F2416">
              <w:rPr>
                <w:rFonts w:asciiTheme="minorHAnsi" w:hAnsiTheme="minorHAnsi" w:cstheme="minorHAnsi"/>
                <w:color w:val="000000" w:themeColor="text1"/>
              </w:rPr>
              <w:t>Vc</w:t>
            </w:r>
            <w:proofErr w:type="spellEnd"/>
            <w:r w:rsidRPr="003F2416">
              <w:rPr>
                <w:rFonts w:asciiTheme="minorHAnsi" w:hAnsiTheme="minorHAnsi" w:cstheme="minorHAnsi"/>
                <w:color w:val="000000" w:themeColor="text1"/>
              </w:rPr>
              <w:t>); gli interventi dovranno tener conto</w:t>
            </w:r>
          </w:p>
          <w:p w:rsidR="009F6EA6" w:rsidRPr="003F2416" w:rsidRDefault="009F6EA6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dell’inserimento nel contesto urbano.</w:t>
            </w:r>
          </w:p>
        </w:tc>
      </w:tr>
    </w:tbl>
    <w:p w:rsidR="00C35FA3" w:rsidRPr="003F2416" w:rsidRDefault="00C35FA3" w:rsidP="003F2416">
      <w:pPr>
        <w:rPr>
          <w:rFonts w:cstheme="minorHAnsi"/>
          <w:b/>
          <w:bCs/>
          <w:color w:val="000000" w:themeColor="text1"/>
        </w:rPr>
      </w:pPr>
    </w:p>
    <w:p w:rsidR="00C35FA3" w:rsidRPr="003F2416" w:rsidRDefault="00C35FA3" w:rsidP="003F2416">
      <w:pPr>
        <w:ind w:left="-851"/>
        <w:rPr>
          <w:rFonts w:cstheme="minorHAnsi"/>
          <w:b/>
          <w:bCs/>
          <w:color w:val="000000" w:themeColor="text1"/>
        </w:rPr>
      </w:pPr>
      <w:r w:rsidRPr="003F2416">
        <w:rPr>
          <w:rFonts w:cstheme="minorHAnsi"/>
          <w:b/>
          <w:bCs/>
          <w:color w:val="000000" w:themeColor="text1"/>
        </w:rPr>
        <w:t>COMMA 4</w:t>
      </w:r>
    </w:p>
    <w:tbl>
      <w:tblPr>
        <w:tblStyle w:val="Grigliatabella"/>
        <w:tblW w:w="11373" w:type="dxa"/>
        <w:tblInd w:w="-856" w:type="dxa"/>
        <w:tblLook w:val="04A0" w:firstRow="1" w:lastRow="0" w:firstColumn="1" w:lastColumn="0" w:noHBand="0" w:noVBand="1"/>
      </w:tblPr>
      <w:tblGrid>
        <w:gridCol w:w="1515"/>
        <w:gridCol w:w="1175"/>
        <w:gridCol w:w="1280"/>
        <w:gridCol w:w="1559"/>
        <w:gridCol w:w="1690"/>
        <w:gridCol w:w="1613"/>
        <w:gridCol w:w="1204"/>
        <w:gridCol w:w="1337"/>
      </w:tblGrid>
      <w:tr w:rsidR="003F2416" w:rsidRPr="003F2416" w:rsidTr="003F2416">
        <w:tc>
          <w:tcPr>
            <w:tcW w:w="1515" w:type="dxa"/>
          </w:tcPr>
          <w:p w:rsidR="00C35FA3" w:rsidRPr="003F2416" w:rsidRDefault="00C35FA3" w:rsidP="00EE1D6E">
            <w:pPr>
              <w:rPr>
                <w:rFonts w:cstheme="minorHAnsi"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color w:val="0070C0"/>
                <w:sz w:val="16"/>
                <w:szCs w:val="16"/>
              </w:rPr>
              <w:t>Art.26. Tessuti di origine medievale (T1)</w:t>
            </w:r>
          </w:p>
        </w:tc>
        <w:tc>
          <w:tcPr>
            <w:tcW w:w="1175" w:type="dxa"/>
          </w:tcPr>
          <w:p w:rsidR="00C35FA3" w:rsidRPr="003F2416" w:rsidRDefault="00C35FA3" w:rsidP="00EE1D6E">
            <w:pPr>
              <w:rPr>
                <w:rFonts w:eastAsia="Times New Roman" w:cstheme="minorHAns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>Art.27. Tessuti di espansione rinascimentale e moderna preunitaria (T2)</w:t>
            </w:r>
          </w:p>
        </w:tc>
        <w:tc>
          <w:tcPr>
            <w:tcW w:w="1280" w:type="dxa"/>
          </w:tcPr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Art.28. Tessuti di ristrutturazione urbanistica otto-</w:t>
            </w:r>
          </w:p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novecentesca (T3)</w:t>
            </w:r>
          </w:p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  <w:p w:rsidR="00C35FA3" w:rsidRPr="003F2416" w:rsidRDefault="00C35FA3" w:rsidP="00EE1D6E">
            <w:pPr>
              <w:rPr>
                <w:rFonts w:cstheme="minorHAnsi"/>
                <w:color w:val="0070C0"/>
                <w:sz w:val="16"/>
                <w:szCs w:val="16"/>
              </w:rPr>
            </w:pPr>
          </w:p>
        </w:tc>
        <w:tc>
          <w:tcPr>
            <w:tcW w:w="1559" w:type="dxa"/>
          </w:tcPr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Art.29. Tessuti di espansione otto-novecentesca ad</w:t>
            </w:r>
          </w:p>
          <w:p w:rsidR="00C35FA3" w:rsidRPr="003F2416" w:rsidRDefault="00C35FA3" w:rsidP="00EE1D6E">
            <w:pPr>
              <w:rPr>
                <w:rFonts w:cstheme="minorHAnsi"/>
                <w:color w:val="0070C0"/>
                <w:sz w:val="16"/>
                <w:szCs w:val="16"/>
              </w:rPr>
            </w:pPr>
            <w:r w:rsidRPr="003F2416">
              <w:rPr>
                <w:rFonts w:cstheme="minorHAnsi"/>
                <w:color w:val="0070C0"/>
                <w:sz w:val="16"/>
                <w:szCs w:val="16"/>
              </w:rPr>
              <w:t>isolato (T4)</w:t>
            </w:r>
          </w:p>
        </w:tc>
        <w:tc>
          <w:tcPr>
            <w:tcW w:w="1690" w:type="dxa"/>
          </w:tcPr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Art.30. Tessuti di espansione otto-novecentesca a</w:t>
            </w:r>
          </w:p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(T5)</w:t>
            </w:r>
          </w:p>
          <w:p w:rsidR="00C35FA3" w:rsidRPr="003F2416" w:rsidRDefault="00C35FA3" w:rsidP="00EE1D6E">
            <w:pPr>
              <w:rPr>
                <w:rFonts w:cstheme="minorHAnsi"/>
                <w:color w:val="0070C0"/>
                <w:sz w:val="16"/>
                <w:szCs w:val="16"/>
              </w:rPr>
            </w:pPr>
          </w:p>
        </w:tc>
        <w:tc>
          <w:tcPr>
            <w:tcW w:w="1613" w:type="dxa"/>
          </w:tcPr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Art.31. Tessuti di espansione novecentesca a fronti</w:t>
            </w:r>
          </w:p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continue (T6)</w:t>
            </w:r>
          </w:p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</w:p>
        </w:tc>
        <w:tc>
          <w:tcPr>
            <w:tcW w:w="1204" w:type="dxa"/>
          </w:tcPr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Art.32. Tessuti di espansione novecentesca a</w:t>
            </w:r>
          </w:p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lottizzazione edilizia puntiforme (T7)</w:t>
            </w:r>
          </w:p>
        </w:tc>
        <w:tc>
          <w:tcPr>
            <w:tcW w:w="1337" w:type="dxa"/>
          </w:tcPr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Art.33. Tessuti di espansione novecentesca con</w:t>
            </w:r>
          </w:p>
          <w:p w:rsidR="00C35FA3" w:rsidRPr="003F2416" w:rsidRDefault="00C35FA3" w:rsidP="00EE1D6E">
            <w:pPr>
              <w:pStyle w:val="p1"/>
              <w:rPr>
                <w:rFonts w:asciiTheme="minorHAnsi" w:hAnsiTheme="minorHAnsi" w:cstheme="minorHAnsi"/>
                <w:color w:val="0070C0"/>
              </w:rPr>
            </w:pPr>
            <w:r w:rsidRPr="003F2416">
              <w:rPr>
                <w:rFonts w:asciiTheme="minorHAnsi" w:hAnsiTheme="minorHAnsi" w:cstheme="minorHAnsi"/>
                <w:color w:val="0070C0"/>
              </w:rPr>
              <w:t>impianto moderno e unitario (T8)</w:t>
            </w:r>
          </w:p>
        </w:tc>
      </w:tr>
      <w:tr w:rsidR="00EE12B8" w:rsidRPr="003F2416" w:rsidTr="003F2416">
        <w:tc>
          <w:tcPr>
            <w:tcW w:w="1515" w:type="dxa"/>
          </w:tcPr>
          <w:p w:rsidR="00C35FA3" w:rsidRPr="003F2416" w:rsidRDefault="00C35FA3" w:rsidP="00C35FA3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4. Sono ammesse le destinazioni d’uso di cui all’art.</w:t>
            </w:r>
          </w:p>
          <w:p w:rsidR="00C35FA3" w:rsidRPr="003F2416" w:rsidRDefault="00C35FA3" w:rsidP="00C35FA3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25, comma 14, con le seguenti ulteriori esclusioni o</w:t>
            </w:r>
          </w:p>
          <w:p w:rsidR="00C35FA3" w:rsidRPr="003F2416" w:rsidRDefault="00C35FA3" w:rsidP="00C35FA3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limitazioni:</w:t>
            </w:r>
          </w:p>
        </w:tc>
        <w:tc>
          <w:tcPr>
            <w:tcW w:w="1175" w:type="dxa"/>
          </w:tcPr>
          <w:p w:rsidR="00C35FA3" w:rsidRPr="003F2416" w:rsidRDefault="00C35FA3" w:rsidP="009F6EA6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280" w:type="dxa"/>
          </w:tcPr>
          <w:p w:rsidR="00C35FA3" w:rsidRPr="003F2416" w:rsidRDefault="00C35FA3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559" w:type="dxa"/>
          </w:tcPr>
          <w:p w:rsidR="00C35FA3" w:rsidRPr="003F2416" w:rsidRDefault="00C35FA3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690" w:type="dxa"/>
          </w:tcPr>
          <w:p w:rsidR="00C35FA3" w:rsidRPr="003F2416" w:rsidRDefault="00C35FA3" w:rsidP="009F6EA6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613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C35FA3" w:rsidRPr="003F2416" w:rsidRDefault="00C35FA3" w:rsidP="009F6EA6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337" w:type="dxa"/>
          </w:tcPr>
          <w:p w:rsidR="00C35FA3" w:rsidRPr="003F2416" w:rsidRDefault="000A73DE" w:rsidP="009F6EA6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-</w:t>
            </w:r>
          </w:p>
        </w:tc>
      </w:tr>
      <w:tr w:rsidR="00EE12B8" w:rsidRPr="003F2416" w:rsidTr="003F2416">
        <w:tc>
          <w:tcPr>
            <w:tcW w:w="1515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175" w:type="dxa"/>
          </w:tcPr>
          <w:p w:rsidR="000A73DE" w:rsidRPr="003F2416" w:rsidRDefault="000A73DE" w:rsidP="000A73DE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280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559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90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13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4. Sono ammesse le destinazioni d’uso di cui all’art.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25, comma 14, con esclusione della destinazione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Style w:val="s1"/>
                <w:rFonts w:asciiTheme="minorHAnsi" w:hAnsiTheme="minorHAnsi" w:cstheme="minorHAnsi"/>
                <w:color w:val="000000" w:themeColor="text1"/>
              </w:rPr>
              <w:t>Rurale.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La destinazione Parcheggi non pertinenziali</w:t>
            </w:r>
            <w:r w:rsidRPr="003F2416">
              <w:rPr>
                <w:rStyle w:val="s1"/>
                <w:rFonts w:asciiTheme="minorHAnsi" w:hAnsiTheme="minorHAnsi" w:cstheme="minorHAnsi"/>
                <w:color w:val="000000" w:themeColor="text1"/>
              </w:rPr>
              <w:t xml:space="preserve"> 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>è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consentita solo nei tessuti esterni al 1° Municipio: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lastRenderedPageBreak/>
              <w:t>eventuali localizzazioni all’interno del 1° Municipio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sono consentite solo previa redazione uno strumento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urbanistico esecutivo che ne verifichi la compatibilità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urbanistica e ambientale</w:t>
            </w:r>
          </w:p>
        </w:tc>
        <w:tc>
          <w:tcPr>
            <w:tcW w:w="1204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lastRenderedPageBreak/>
              <w:t>IDEM</w:t>
            </w:r>
          </w:p>
        </w:tc>
        <w:tc>
          <w:tcPr>
            <w:tcW w:w="1337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3F2416">
        <w:tc>
          <w:tcPr>
            <w:tcW w:w="1515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a) le destinazioni </w:t>
            </w:r>
            <w:r w:rsidRPr="003F2416">
              <w:rPr>
                <w:rStyle w:val="s1"/>
                <w:rFonts w:asciiTheme="minorHAnsi" w:hAnsiTheme="minorHAnsi" w:cstheme="minorHAnsi"/>
                <w:color w:val="000000" w:themeColor="text1"/>
              </w:rPr>
              <w:t>Commerciali</w:t>
            </w: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 sono ammesse con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superficie di vendita fino a 1.000 mq, fatte salve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più specifiche e ulteriori previsioni contenute nel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Regolamento per l’esercizio delle attività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commerciali e artigianali nel territorio della Città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storica, ai sensi dell’art.25 comma 17;</w:t>
            </w:r>
          </w:p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175" w:type="dxa"/>
          </w:tcPr>
          <w:p w:rsidR="000A73DE" w:rsidRPr="003F2416" w:rsidRDefault="000A73DE" w:rsidP="000A73DE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280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559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90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 xml:space="preserve">(idem T1) 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a) le destinazioni Commerciali sono ammesse con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superficie di vendita fino a 1.000 mq di superficie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di vendita, fatte salve più specifiche e ulteriori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previsioni contenute nel Regolamento per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l’esercizio delle attività commerciali e artigianali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nel territorio della Città storica, ai sensi dell’art.25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comma 17;</w:t>
            </w:r>
          </w:p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13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</w:rPr>
            </w:pPr>
            <w:r w:rsidRPr="003F2416">
              <w:rPr>
                <w:rFonts w:cstheme="minorHAnsi"/>
                <w:color w:val="000000" w:themeColor="text1"/>
              </w:rPr>
              <w:t>-</w:t>
            </w:r>
          </w:p>
        </w:tc>
        <w:tc>
          <w:tcPr>
            <w:tcW w:w="1204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</w:rPr>
            </w:pPr>
            <w:r w:rsidRPr="003F2416">
              <w:rPr>
                <w:rFonts w:cstheme="minorHAnsi"/>
                <w:color w:val="000000" w:themeColor="text1"/>
              </w:rPr>
              <w:t>-</w:t>
            </w:r>
          </w:p>
        </w:tc>
        <w:tc>
          <w:tcPr>
            <w:tcW w:w="1337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3F2416">
        <w:tc>
          <w:tcPr>
            <w:tcW w:w="1515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175" w:type="dxa"/>
          </w:tcPr>
          <w:p w:rsidR="000A73DE" w:rsidRPr="003F2416" w:rsidRDefault="000A73DE" w:rsidP="000A73DE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280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559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a) le destinazioni Commerciali sono ammesse con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superficie di vendita fino a 1.000 mq;</w:t>
            </w:r>
          </w:p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90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13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3F2416">
        <w:tc>
          <w:tcPr>
            <w:tcW w:w="1515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B) le destinazioni “pubblici esercizi”, “piccole strutture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di vendita”, “artigianato di servizio”, “artigianato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produttivo”, sono ammesse solo per i locali al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piano-terra e nell’eventuale mezzanino lungo i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fronti-strada;</w:t>
            </w:r>
          </w:p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175" w:type="dxa"/>
          </w:tcPr>
          <w:p w:rsidR="000A73DE" w:rsidRPr="003F2416" w:rsidRDefault="000A73DE" w:rsidP="000A73DE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280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559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690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613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3F2416">
        <w:tc>
          <w:tcPr>
            <w:tcW w:w="1515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c) le destinazioni “pubblici esercizi” sono ammesse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agli ultimi piani di edifici non residenziali o di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attrezzature collettive aventi accesso diretto dal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piano terra;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175" w:type="dxa"/>
          </w:tcPr>
          <w:p w:rsidR="000A73DE" w:rsidRPr="003F2416" w:rsidRDefault="000A73DE" w:rsidP="000A73DE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280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559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690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613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3F2416">
        <w:tc>
          <w:tcPr>
            <w:tcW w:w="1515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d) sono escluse le destinazioni “attrezzature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collettive" con SUL oltre i 1.000 mq, la destinazione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Rurale e i Parcheggi non pertinenziali.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175" w:type="dxa"/>
          </w:tcPr>
          <w:p w:rsidR="000A73DE" w:rsidRPr="003F2416" w:rsidRDefault="000A73DE" w:rsidP="000A73DE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  <w:t>IDEM</w:t>
            </w:r>
          </w:p>
        </w:tc>
        <w:tc>
          <w:tcPr>
            <w:tcW w:w="1280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559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690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F2416">
              <w:rPr>
                <w:rFonts w:cstheme="minorHAnsi"/>
                <w:color w:val="000000" w:themeColor="text1"/>
                <w:sz w:val="16"/>
                <w:szCs w:val="16"/>
              </w:rPr>
              <w:t>IDEM</w:t>
            </w:r>
          </w:p>
        </w:tc>
        <w:tc>
          <w:tcPr>
            <w:tcW w:w="1613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EE12B8" w:rsidRPr="003F2416" w:rsidTr="003F2416">
        <w:tc>
          <w:tcPr>
            <w:tcW w:w="1515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175" w:type="dxa"/>
          </w:tcPr>
          <w:p w:rsidR="000A73DE" w:rsidRPr="003F2416" w:rsidRDefault="000A73DE" w:rsidP="000A73DE">
            <w:pPr>
              <w:rPr>
                <w:rFonts w:eastAsia="Times New Roman" w:cstheme="minorHAnsi"/>
                <w:color w:val="000000" w:themeColor="text1"/>
                <w:kern w:val="0"/>
                <w:sz w:val="16"/>
                <w:szCs w:val="16"/>
                <w:lang w:eastAsia="it-IT"/>
                <w14:ligatures w14:val="none"/>
              </w:rPr>
            </w:pPr>
          </w:p>
        </w:tc>
        <w:tc>
          <w:tcPr>
            <w:tcW w:w="1280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d) sono escluse le destinazioni Rurale e i Parcheggi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non pertinenziali</w:t>
            </w:r>
          </w:p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strike/>
                <w:color w:val="000000" w:themeColor="text1"/>
              </w:rPr>
            </w:pPr>
          </w:p>
        </w:tc>
        <w:tc>
          <w:tcPr>
            <w:tcW w:w="1559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  <w:r w:rsidRPr="003F2416">
              <w:rPr>
                <w:rFonts w:asciiTheme="minorHAnsi" w:hAnsiTheme="minorHAnsi" w:cstheme="minorHAnsi"/>
                <w:color w:val="000000" w:themeColor="text1"/>
              </w:rPr>
              <w:t>IDEM</w:t>
            </w:r>
          </w:p>
        </w:tc>
        <w:tc>
          <w:tcPr>
            <w:tcW w:w="1690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613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:rsidR="000A73DE" w:rsidRPr="003F2416" w:rsidRDefault="000A73DE" w:rsidP="000A73DE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337" w:type="dxa"/>
          </w:tcPr>
          <w:p w:rsidR="000A73DE" w:rsidRPr="003F2416" w:rsidRDefault="000A73DE" w:rsidP="000A73DE">
            <w:pPr>
              <w:pStyle w:val="p1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3F2416" w:rsidRPr="003F2416" w:rsidTr="003F2416">
        <w:tc>
          <w:tcPr>
            <w:tcW w:w="1515" w:type="dxa"/>
          </w:tcPr>
          <w:p w:rsidR="003F2416" w:rsidRPr="003F2416" w:rsidRDefault="003F2416" w:rsidP="009875B4">
            <w:pPr>
              <w:rPr>
                <w:rFonts w:ascii="Calibri" w:hAnsi="Calibri" w:cs="Calibri"/>
                <w:color w:val="0070C0"/>
                <w:sz w:val="16"/>
                <w:szCs w:val="16"/>
              </w:rPr>
            </w:pPr>
            <w:r w:rsidRPr="003F2416">
              <w:rPr>
                <w:rFonts w:ascii="Calibri" w:hAnsi="Calibri" w:cs="Calibri"/>
                <w:color w:val="0070C0"/>
                <w:sz w:val="16"/>
                <w:szCs w:val="16"/>
              </w:rPr>
              <w:lastRenderedPageBreak/>
              <w:t>Art.26. Tessuti di origine medievale (T1)</w:t>
            </w:r>
          </w:p>
        </w:tc>
        <w:tc>
          <w:tcPr>
            <w:tcW w:w="1175" w:type="dxa"/>
          </w:tcPr>
          <w:p w:rsidR="003F2416" w:rsidRPr="003F2416" w:rsidRDefault="003F2416" w:rsidP="009875B4">
            <w:pPr>
              <w:rPr>
                <w:rFonts w:ascii="Calibri" w:eastAsia="Times New Roman" w:hAnsi="Calibri" w:cs="Calibr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</w:pPr>
            <w:r w:rsidRPr="003F2416">
              <w:rPr>
                <w:rFonts w:ascii="Calibri" w:eastAsia="Times New Roman" w:hAnsi="Calibri" w:cs="Calibri"/>
                <w:color w:val="0070C0"/>
                <w:kern w:val="0"/>
                <w:sz w:val="16"/>
                <w:szCs w:val="16"/>
                <w:lang w:eastAsia="it-IT"/>
                <w14:ligatures w14:val="none"/>
              </w:rPr>
              <w:t>Art.27. Tessuti di espansione rinascimentale e moderna preunitaria (T2)</w:t>
            </w:r>
          </w:p>
        </w:tc>
        <w:tc>
          <w:tcPr>
            <w:tcW w:w="1280" w:type="dxa"/>
          </w:tcPr>
          <w:p w:rsidR="003F2416" w:rsidRPr="003F2416" w:rsidRDefault="003F2416" w:rsidP="009875B4">
            <w:pPr>
              <w:pStyle w:val="p1"/>
              <w:rPr>
                <w:rFonts w:ascii="Calibri" w:hAnsi="Calibri" w:cs="Calibri"/>
                <w:color w:val="0070C0"/>
              </w:rPr>
            </w:pPr>
            <w:r w:rsidRPr="003F2416">
              <w:rPr>
                <w:rFonts w:ascii="Calibri" w:hAnsi="Calibri" w:cs="Calibri"/>
                <w:color w:val="0070C0"/>
              </w:rPr>
              <w:t>Art.28. Tessuti di ristrutturazione urbanistica otto-</w:t>
            </w:r>
          </w:p>
          <w:p w:rsidR="003F2416" w:rsidRPr="003F2416" w:rsidRDefault="003F2416" w:rsidP="009875B4">
            <w:pPr>
              <w:pStyle w:val="p1"/>
              <w:rPr>
                <w:rFonts w:ascii="Calibri" w:hAnsi="Calibri" w:cs="Calibri"/>
                <w:color w:val="0070C0"/>
              </w:rPr>
            </w:pPr>
            <w:r w:rsidRPr="003F2416">
              <w:rPr>
                <w:rFonts w:ascii="Calibri" w:hAnsi="Calibri" w:cs="Calibri"/>
                <w:color w:val="0070C0"/>
              </w:rPr>
              <w:t>novecentesca (T3)</w:t>
            </w:r>
          </w:p>
          <w:p w:rsidR="003F2416" w:rsidRPr="003F2416" w:rsidRDefault="003F2416" w:rsidP="009875B4">
            <w:pPr>
              <w:pStyle w:val="p1"/>
              <w:rPr>
                <w:rFonts w:ascii="Calibri" w:hAnsi="Calibri" w:cs="Calibri"/>
                <w:color w:val="0070C0"/>
              </w:rPr>
            </w:pPr>
          </w:p>
          <w:p w:rsidR="003F2416" w:rsidRPr="003F2416" w:rsidRDefault="003F2416" w:rsidP="009875B4">
            <w:pPr>
              <w:rPr>
                <w:rFonts w:ascii="Calibri" w:hAnsi="Calibri" w:cs="Calibri"/>
                <w:color w:val="0070C0"/>
                <w:sz w:val="16"/>
                <w:szCs w:val="16"/>
              </w:rPr>
            </w:pPr>
          </w:p>
        </w:tc>
        <w:tc>
          <w:tcPr>
            <w:tcW w:w="1559" w:type="dxa"/>
          </w:tcPr>
          <w:p w:rsidR="003F2416" w:rsidRPr="003F2416" w:rsidRDefault="003F2416" w:rsidP="009875B4">
            <w:pPr>
              <w:pStyle w:val="p1"/>
              <w:rPr>
                <w:rFonts w:ascii="Calibri" w:hAnsi="Calibri" w:cs="Calibri"/>
                <w:color w:val="0070C0"/>
              </w:rPr>
            </w:pPr>
            <w:r w:rsidRPr="003F2416">
              <w:rPr>
                <w:rFonts w:ascii="Calibri" w:hAnsi="Calibri" w:cs="Calibri"/>
                <w:color w:val="0070C0"/>
              </w:rPr>
              <w:t>Art.29. Tessuti di espansione otto-novecentesca ad</w:t>
            </w:r>
          </w:p>
          <w:p w:rsidR="003F2416" w:rsidRPr="003F2416" w:rsidRDefault="003F2416" w:rsidP="009875B4">
            <w:pPr>
              <w:rPr>
                <w:rFonts w:ascii="Calibri" w:hAnsi="Calibri" w:cs="Calibri"/>
                <w:color w:val="0070C0"/>
                <w:sz w:val="16"/>
                <w:szCs w:val="16"/>
              </w:rPr>
            </w:pPr>
            <w:r w:rsidRPr="003F2416">
              <w:rPr>
                <w:rFonts w:ascii="Calibri" w:hAnsi="Calibri" w:cs="Calibri"/>
                <w:color w:val="0070C0"/>
                <w:sz w:val="16"/>
                <w:szCs w:val="16"/>
              </w:rPr>
              <w:t>isolato (T4)</w:t>
            </w:r>
          </w:p>
        </w:tc>
        <w:tc>
          <w:tcPr>
            <w:tcW w:w="1690" w:type="dxa"/>
          </w:tcPr>
          <w:p w:rsidR="003F2416" w:rsidRPr="003F2416" w:rsidRDefault="003F2416" w:rsidP="009875B4">
            <w:pPr>
              <w:pStyle w:val="p1"/>
              <w:rPr>
                <w:rFonts w:ascii="Calibri" w:hAnsi="Calibri" w:cs="Calibri"/>
                <w:color w:val="0070C0"/>
              </w:rPr>
            </w:pPr>
            <w:r w:rsidRPr="003F2416">
              <w:rPr>
                <w:rFonts w:ascii="Calibri" w:hAnsi="Calibri" w:cs="Calibri"/>
                <w:color w:val="0070C0"/>
              </w:rPr>
              <w:t>Art.30. Tessuti di espansione otto-novecentesca a</w:t>
            </w:r>
          </w:p>
          <w:p w:rsidR="003F2416" w:rsidRPr="003F2416" w:rsidRDefault="003F2416" w:rsidP="009875B4">
            <w:pPr>
              <w:pStyle w:val="p1"/>
              <w:rPr>
                <w:rFonts w:ascii="Calibri" w:hAnsi="Calibri" w:cs="Calibri"/>
                <w:color w:val="0070C0"/>
              </w:rPr>
            </w:pPr>
            <w:r w:rsidRPr="003F2416">
              <w:rPr>
                <w:rFonts w:ascii="Calibri" w:hAnsi="Calibri" w:cs="Calibri"/>
                <w:color w:val="0070C0"/>
              </w:rPr>
              <w:t>lottizzazione edilizia puntiforme (T5)</w:t>
            </w:r>
          </w:p>
          <w:p w:rsidR="003F2416" w:rsidRPr="003F2416" w:rsidRDefault="003F2416" w:rsidP="009875B4">
            <w:pPr>
              <w:rPr>
                <w:rFonts w:ascii="Calibri" w:hAnsi="Calibri" w:cs="Calibri"/>
                <w:color w:val="0070C0"/>
                <w:sz w:val="16"/>
                <w:szCs w:val="16"/>
              </w:rPr>
            </w:pPr>
          </w:p>
        </w:tc>
        <w:tc>
          <w:tcPr>
            <w:tcW w:w="1613" w:type="dxa"/>
          </w:tcPr>
          <w:p w:rsidR="003F2416" w:rsidRPr="003F2416" w:rsidRDefault="003F2416" w:rsidP="009875B4">
            <w:pPr>
              <w:pStyle w:val="p1"/>
              <w:rPr>
                <w:color w:val="0070C0"/>
              </w:rPr>
            </w:pPr>
            <w:r w:rsidRPr="003F2416">
              <w:rPr>
                <w:color w:val="0070C0"/>
              </w:rPr>
              <w:t>Art.31. Tessuti di espansione novecentesca a fronti</w:t>
            </w:r>
          </w:p>
          <w:p w:rsidR="003F2416" w:rsidRPr="003F2416" w:rsidRDefault="003F2416" w:rsidP="009875B4">
            <w:pPr>
              <w:pStyle w:val="p1"/>
              <w:rPr>
                <w:color w:val="0070C0"/>
              </w:rPr>
            </w:pPr>
            <w:r w:rsidRPr="003F2416">
              <w:rPr>
                <w:color w:val="0070C0"/>
              </w:rPr>
              <w:t>continue (T6)</w:t>
            </w:r>
          </w:p>
          <w:p w:rsidR="003F2416" w:rsidRPr="003F2416" w:rsidRDefault="003F2416" w:rsidP="009875B4">
            <w:pPr>
              <w:pStyle w:val="p1"/>
              <w:rPr>
                <w:color w:val="0070C0"/>
              </w:rPr>
            </w:pPr>
          </w:p>
        </w:tc>
        <w:tc>
          <w:tcPr>
            <w:tcW w:w="1204" w:type="dxa"/>
          </w:tcPr>
          <w:p w:rsidR="003F2416" w:rsidRPr="003F2416" w:rsidRDefault="003F2416" w:rsidP="009875B4">
            <w:pPr>
              <w:pStyle w:val="p1"/>
              <w:rPr>
                <w:color w:val="0070C0"/>
              </w:rPr>
            </w:pPr>
            <w:r w:rsidRPr="003F2416">
              <w:rPr>
                <w:color w:val="0070C0"/>
              </w:rPr>
              <w:t>Art.32. Tessuti di espansione novecentesca a</w:t>
            </w:r>
          </w:p>
          <w:p w:rsidR="003F2416" w:rsidRPr="003F2416" w:rsidRDefault="003F2416" w:rsidP="009875B4">
            <w:pPr>
              <w:pStyle w:val="p1"/>
              <w:rPr>
                <w:color w:val="0070C0"/>
              </w:rPr>
            </w:pPr>
            <w:r w:rsidRPr="003F2416">
              <w:rPr>
                <w:color w:val="0070C0"/>
              </w:rPr>
              <w:t>lottizzazione edilizia puntiforme (T7)</w:t>
            </w:r>
          </w:p>
          <w:p w:rsidR="003F2416" w:rsidRPr="003F2416" w:rsidRDefault="003F2416" w:rsidP="009875B4">
            <w:pPr>
              <w:pStyle w:val="p1"/>
              <w:rPr>
                <w:color w:val="0070C0"/>
              </w:rPr>
            </w:pPr>
          </w:p>
        </w:tc>
        <w:tc>
          <w:tcPr>
            <w:tcW w:w="1337" w:type="dxa"/>
          </w:tcPr>
          <w:p w:rsidR="003F2416" w:rsidRPr="003F2416" w:rsidRDefault="003F2416" w:rsidP="009875B4">
            <w:pPr>
              <w:pStyle w:val="p1"/>
              <w:rPr>
                <w:color w:val="0070C0"/>
              </w:rPr>
            </w:pPr>
            <w:r w:rsidRPr="003F2416">
              <w:rPr>
                <w:color w:val="0070C0"/>
              </w:rPr>
              <w:t>Art.33. Tessuti di espansione novecentesca con</w:t>
            </w:r>
          </w:p>
          <w:p w:rsidR="003F2416" w:rsidRPr="003F2416" w:rsidRDefault="003F2416" w:rsidP="009875B4">
            <w:pPr>
              <w:pStyle w:val="p1"/>
              <w:rPr>
                <w:color w:val="0070C0"/>
              </w:rPr>
            </w:pPr>
            <w:r w:rsidRPr="003F2416">
              <w:rPr>
                <w:color w:val="0070C0"/>
              </w:rPr>
              <w:t>impianto moderno e unitario (T8)</w:t>
            </w:r>
          </w:p>
        </w:tc>
      </w:tr>
    </w:tbl>
    <w:p w:rsidR="00AD5DC6" w:rsidRPr="003F2416" w:rsidRDefault="00AD5DC6">
      <w:pPr>
        <w:rPr>
          <w:rFonts w:cstheme="minorHAnsi"/>
          <w:color w:val="000000" w:themeColor="text1"/>
        </w:rPr>
      </w:pPr>
    </w:p>
    <w:sectPr w:rsidR="00AD5DC6" w:rsidRPr="003F2416" w:rsidSect="003F2416">
      <w:pgSz w:w="11900" w:h="16840"/>
      <w:pgMar w:top="269" w:right="1134" w:bottom="485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panose1 w:val="020B0502020104020203"/>
    <w:charset w:val="4D"/>
    <w:family w:val="swiss"/>
    <w:pitch w:val="variable"/>
    <w:sig w:usb0="00000003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05485"/>
    <w:multiLevelType w:val="hybridMultilevel"/>
    <w:tmpl w:val="F1F4DC4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AD3335"/>
    <w:multiLevelType w:val="hybridMultilevel"/>
    <w:tmpl w:val="4BE4C342"/>
    <w:lvl w:ilvl="0" w:tplc="3FF2922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A05EE3"/>
    <w:multiLevelType w:val="hybridMultilevel"/>
    <w:tmpl w:val="A32EB1F2"/>
    <w:lvl w:ilvl="0" w:tplc="539266F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5647042">
    <w:abstractNumId w:val="1"/>
  </w:num>
  <w:num w:numId="2" w16cid:durableId="1984775509">
    <w:abstractNumId w:val="0"/>
  </w:num>
  <w:num w:numId="3" w16cid:durableId="19158232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708"/>
    <w:rsid w:val="000A73DE"/>
    <w:rsid w:val="00111890"/>
    <w:rsid w:val="0011637D"/>
    <w:rsid w:val="00126FC2"/>
    <w:rsid w:val="00192708"/>
    <w:rsid w:val="001D02C7"/>
    <w:rsid w:val="001E05C6"/>
    <w:rsid w:val="00223203"/>
    <w:rsid w:val="00277042"/>
    <w:rsid w:val="002A1AF6"/>
    <w:rsid w:val="003124C5"/>
    <w:rsid w:val="00353726"/>
    <w:rsid w:val="003F2416"/>
    <w:rsid w:val="00434508"/>
    <w:rsid w:val="0045793D"/>
    <w:rsid w:val="00485839"/>
    <w:rsid w:val="004A344D"/>
    <w:rsid w:val="00530289"/>
    <w:rsid w:val="00565AFD"/>
    <w:rsid w:val="00605ABD"/>
    <w:rsid w:val="00692F91"/>
    <w:rsid w:val="006F4BD1"/>
    <w:rsid w:val="00761198"/>
    <w:rsid w:val="00785A46"/>
    <w:rsid w:val="00796AF7"/>
    <w:rsid w:val="008464E8"/>
    <w:rsid w:val="00863FE5"/>
    <w:rsid w:val="008732D9"/>
    <w:rsid w:val="00885B05"/>
    <w:rsid w:val="008E31DE"/>
    <w:rsid w:val="008F2EFE"/>
    <w:rsid w:val="00910032"/>
    <w:rsid w:val="00915DAD"/>
    <w:rsid w:val="0095043A"/>
    <w:rsid w:val="009B7EC3"/>
    <w:rsid w:val="009C2F01"/>
    <w:rsid w:val="009F6EA6"/>
    <w:rsid w:val="00A36F7C"/>
    <w:rsid w:val="00A535F3"/>
    <w:rsid w:val="00A80BA4"/>
    <w:rsid w:val="00AB7398"/>
    <w:rsid w:val="00AC3613"/>
    <w:rsid w:val="00AD5DC6"/>
    <w:rsid w:val="00B6200B"/>
    <w:rsid w:val="00B7457A"/>
    <w:rsid w:val="00C30939"/>
    <w:rsid w:val="00C35FA3"/>
    <w:rsid w:val="00C97428"/>
    <w:rsid w:val="00DB0E02"/>
    <w:rsid w:val="00DB66E8"/>
    <w:rsid w:val="00E051CD"/>
    <w:rsid w:val="00EC4BA2"/>
    <w:rsid w:val="00ED60FC"/>
    <w:rsid w:val="00EE12B8"/>
    <w:rsid w:val="00F45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EA0BB77"/>
  <w15:chartTrackingRefBased/>
  <w15:docId w15:val="{42296D0C-95D2-4445-BC01-4E6FCE26D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1927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1">
    <w:name w:val="p1"/>
    <w:basedOn w:val="Normale"/>
    <w:rsid w:val="00192708"/>
    <w:rPr>
      <w:rFonts w:ascii="Arial" w:eastAsia="Times New Roman" w:hAnsi="Arial" w:cs="Arial"/>
      <w:color w:val="000000"/>
      <w:kern w:val="0"/>
      <w:sz w:val="16"/>
      <w:szCs w:val="16"/>
      <w:lang w:eastAsia="it-IT"/>
      <w14:ligatures w14:val="none"/>
    </w:rPr>
  </w:style>
  <w:style w:type="paragraph" w:styleId="Paragrafoelenco">
    <w:name w:val="List Paragraph"/>
    <w:basedOn w:val="Normale"/>
    <w:uiPriority w:val="34"/>
    <w:qFormat/>
    <w:rsid w:val="00B6200B"/>
    <w:pPr>
      <w:ind w:left="720"/>
      <w:contextualSpacing/>
    </w:pPr>
  </w:style>
  <w:style w:type="character" w:customStyle="1" w:styleId="s1">
    <w:name w:val="s1"/>
    <w:basedOn w:val="Carpredefinitoparagrafo"/>
    <w:rsid w:val="008F2EFE"/>
    <w:rPr>
      <w:rFonts w:ascii="Gill Sans MT" w:hAnsi="Gill Sans MT" w:hint="default"/>
      <w:sz w:val="16"/>
      <w:szCs w:val="16"/>
    </w:rPr>
  </w:style>
  <w:style w:type="character" w:styleId="Enfasigrassetto">
    <w:name w:val="Strong"/>
    <w:basedOn w:val="Carpredefinitoparagrafo"/>
    <w:uiPriority w:val="22"/>
    <w:qFormat/>
    <w:rsid w:val="00C97428"/>
    <w:rPr>
      <w:b/>
      <w:bCs/>
    </w:rPr>
  </w:style>
  <w:style w:type="paragraph" w:styleId="NormaleWeb">
    <w:name w:val="Normal (Web)"/>
    <w:basedOn w:val="Normale"/>
    <w:uiPriority w:val="99"/>
    <w:unhideWhenUsed/>
    <w:rsid w:val="00C97428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/>
      <w14:ligatures w14:val="none"/>
    </w:rPr>
  </w:style>
  <w:style w:type="character" w:styleId="Enfasicorsivo">
    <w:name w:val="Emphasis"/>
    <w:basedOn w:val="Carpredefinitoparagrafo"/>
    <w:uiPriority w:val="20"/>
    <w:qFormat/>
    <w:rsid w:val="00EE12B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48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5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1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7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5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2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1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4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7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6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8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1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7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4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5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7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5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23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8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6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7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1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7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13</Pages>
  <Words>3929</Words>
  <Characters>22396</Characters>
  <Application>Microsoft Office Word</Application>
  <DocSecurity>0</DocSecurity>
  <Lines>186</Lines>
  <Paragraphs>52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21</cp:revision>
  <cp:lastPrinted>2025-03-21T15:34:00Z</cp:lastPrinted>
  <dcterms:created xsi:type="dcterms:W3CDTF">2025-03-21T13:54:00Z</dcterms:created>
  <dcterms:modified xsi:type="dcterms:W3CDTF">2025-03-31T09:49:00Z</dcterms:modified>
</cp:coreProperties>
</file>